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F716" w14:textId="77777777" w:rsidR="005C036F" w:rsidRPr="000D6017" w:rsidRDefault="005C036F" w:rsidP="006C0B4E">
      <w:pPr>
        <w:tabs>
          <w:tab w:val="left" w:pos="5052"/>
        </w:tabs>
        <w:bidi w:val="0"/>
        <w:rPr>
          <w:rFonts w:asciiTheme="majorBidi" w:hAnsiTheme="majorBidi" w:cs="Times New Roman"/>
          <w:sz w:val="22"/>
          <w:szCs w:val="22"/>
        </w:rPr>
      </w:pPr>
    </w:p>
    <w:p w14:paraId="4F06D2BE" w14:textId="77777777" w:rsidR="005C036F" w:rsidRPr="000D6017" w:rsidRDefault="00DF6CFC" w:rsidP="006C0B4E">
      <w:pPr>
        <w:tabs>
          <w:tab w:val="left" w:pos="5336"/>
          <w:tab w:val="left" w:pos="7887"/>
        </w:tabs>
        <w:bidi w:val="0"/>
        <w:ind w:right="-630"/>
        <w:rPr>
          <w:rFonts w:asciiTheme="majorBidi" w:hAnsiTheme="majorBidi" w:cs="Times New Roman"/>
          <w:sz w:val="22"/>
          <w:szCs w:val="22"/>
          <w:rtl/>
        </w:rPr>
      </w:pPr>
      <w:r w:rsidRPr="000D6017">
        <w:rPr>
          <w:rFonts w:asciiTheme="majorBidi" w:hAnsiTheme="majorBidi" w:cs="Times New Roman"/>
          <w:sz w:val="22"/>
          <w:szCs w:val="22"/>
          <w:rtl/>
        </w:rPr>
        <w:tab/>
      </w:r>
    </w:p>
    <w:p w14:paraId="53CFB55D" w14:textId="77777777" w:rsidR="005C036F" w:rsidRPr="000D6017" w:rsidRDefault="005C036F" w:rsidP="00BB71FB">
      <w:pPr>
        <w:pBdr>
          <w:top w:val="single" w:sz="4" w:space="1" w:color="auto"/>
        </w:pBd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rPr>
          <w:rFonts w:asciiTheme="majorBidi" w:hAnsiTheme="majorBidi" w:cs="Times New Roman"/>
          <w:b/>
          <w:bCs/>
          <w:sz w:val="22"/>
          <w:szCs w:val="22"/>
          <w:rtl/>
        </w:rPr>
      </w:pPr>
      <w:r w:rsidRPr="000D6017">
        <w:rPr>
          <w:rFonts w:asciiTheme="majorBidi" w:hAnsiTheme="majorBidi" w:cs="Times New Roman"/>
          <w:b/>
          <w:bCs/>
          <w:i/>
          <w:iCs/>
          <w:sz w:val="22"/>
          <w:szCs w:val="22"/>
        </w:rPr>
        <w:t>Books</w:t>
      </w:r>
    </w:p>
    <w:p w14:paraId="626D91AA" w14:textId="77777777" w:rsidR="006C0B4E" w:rsidRDefault="0073007F" w:rsidP="006C0B4E">
      <w:pPr>
        <w:pStyle w:val="Heading1"/>
        <w:numPr>
          <w:ilvl w:val="0"/>
          <w:numId w:val="5"/>
        </w:numPr>
        <w:shd w:val="clear" w:color="auto" w:fill="FFFFFF"/>
        <w:bidi w:val="0"/>
        <w:spacing w:before="240" w:after="60" w:line="276" w:lineRule="auto"/>
        <w:ind w:right="-204"/>
        <w:rPr>
          <w:rFonts w:asciiTheme="majorBidi" w:hAnsiTheme="majorBidi" w:cstheme="majorBidi"/>
          <w:sz w:val="22"/>
          <w:szCs w:val="22"/>
        </w:rPr>
      </w:pPr>
      <w:r w:rsidRPr="006C0B4E">
        <w:rPr>
          <w:rFonts w:asciiTheme="majorBidi" w:hAnsiTheme="majorBidi" w:cstheme="majorBidi"/>
          <w:spacing w:val="-2"/>
          <w:sz w:val="22"/>
          <w:szCs w:val="22"/>
          <w:u w:val="none"/>
        </w:rPr>
        <w:t xml:space="preserve">Alperson-Afil, N. and Goren-Inbar, N. 2010. </w:t>
      </w:r>
      <w:r w:rsidRPr="006C0B4E">
        <w:rPr>
          <w:rFonts w:asciiTheme="majorBidi" w:hAnsiTheme="majorBidi" w:cstheme="majorBidi"/>
          <w:i/>
          <w:iCs/>
          <w:spacing w:val="-2"/>
          <w:sz w:val="22"/>
          <w:szCs w:val="22"/>
          <w:u w:val="none"/>
        </w:rPr>
        <w:t xml:space="preserve">The Acheulian Site of </w:t>
      </w:r>
      <w:proofErr w:type="spellStart"/>
      <w:r w:rsidRPr="006C0B4E">
        <w:rPr>
          <w:rFonts w:asciiTheme="majorBidi" w:hAnsiTheme="majorBidi" w:cstheme="majorBidi"/>
          <w:i/>
          <w:iCs/>
          <w:spacing w:val="-2"/>
          <w:sz w:val="22"/>
          <w:szCs w:val="22"/>
          <w:u w:val="none"/>
        </w:rPr>
        <w:t>Gesher</w:t>
      </w:r>
      <w:proofErr w:type="spellEnd"/>
      <w:r w:rsidRPr="006C0B4E">
        <w:rPr>
          <w:rFonts w:asciiTheme="majorBidi" w:hAnsiTheme="majorBidi" w:cstheme="majorBidi"/>
          <w:i/>
          <w:iCs/>
          <w:spacing w:val="-2"/>
          <w:sz w:val="22"/>
          <w:szCs w:val="22"/>
          <w:u w:val="none"/>
        </w:rPr>
        <w:t xml:space="preserve"> </w:t>
      </w:r>
      <w:proofErr w:type="spellStart"/>
      <w:r w:rsidRPr="006C0B4E">
        <w:rPr>
          <w:rFonts w:asciiTheme="majorBidi" w:hAnsiTheme="majorBidi" w:cstheme="majorBidi"/>
          <w:i/>
          <w:iCs/>
          <w:spacing w:val="-2"/>
          <w:sz w:val="22"/>
          <w:szCs w:val="22"/>
          <w:u w:val="none"/>
        </w:rPr>
        <w:t>Benot</w:t>
      </w:r>
      <w:proofErr w:type="spellEnd"/>
      <w:r w:rsidRPr="006C0B4E">
        <w:rPr>
          <w:rFonts w:asciiTheme="majorBidi" w:hAnsiTheme="majorBidi" w:cstheme="majorBidi"/>
          <w:i/>
          <w:iCs/>
          <w:spacing w:val="-2"/>
          <w:sz w:val="22"/>
          <w:szCs w:val="22"/>
          <w:u w:val="none"/>
        </w:rPr>
        <w:t xml:space="preserve"> </w:t>
      </w:r>
      <w:proofErr w:type="spellStart"/>
      <w:proofErr w:type="gramStart"/>
      <w:r w:rsidRPr="006C0B4E">
        <w:rPr>
          <w:rFonts w:asciiTheme="majorBidi" w:hAnsiTheme="majorBidi" w:cstheme="majorBidi"/>
          <w:i/>
          <w:iCs/>
          <w:spacing w:val="-2"/>
          <w:sz w:val="22"/>
          <w:szCs w:val="22"/>
          <w:u w:val="none"/>
        </w:rPr>
        <w:t>Ya‘</w:t>
      </w:r>
      <w:proofErr w:type="gramEnd"/>
      <w:r w:rsidRPr="006C0B4E">
        <w:rPr>
          <w:rFonts w:asciiTheme="majorBidi" w:hAnsiTheme="majorBidi" w:cstheme="majorBidi"/>
          <w:i/>
          <w:iCs/>
          <w:spacing w:val="-2"/>
          <w:sz w:val="22"/>
          <w:szCs w:val="22"/>
          <w:u w:val="none"/>
        </w:rPr>
        <w:t>aqov</w:t>
      </w:r>
      <w:proofErr w:type="spellEnd"/>
      <w:r w:rsidRPr="006C0B4E">
        <w:rPr>
          <w:rFonts w:asciiTheme="majorBidi" w:hAnsiTheme="majorBidi" w:cstheme="majorBidi"/>
          <w:i/>
          <w:iCs/>
          <w:spacing w:val="-2"/>
          <w:sz w:val="22"/>
          <w:szCs w:val="22"/>
          <w:u w:val="none"/>
        </w:rPr>
        <w:t xml:space="preserve"> Volume II: Ancient Flames and Controlled Use of Fire</w:t>
      </w:r>
      <w:r w:rsidRPr="006C0B4E">
        <w:rPr>
          <w:rFonts w:asciiTheme="majorBidi" w:hAnsiTheme="majorBidi" w:cstheme="majorBidi"/>
          <w:spacing w:val="-2"/>
          <w:sz w:val="22"/>
          <w:szCs w:val="22"/>
          <w:u w:val="none"/>
        </w:rPr>
        <w:t xml:space="preserve">. Springer, </w:t>
      </w:r>
      <w:r w:rsidRPr="006C0B4E">
        <w:rPr>
          <w:rFonts w:asciiTheme="majorBidi" w:hAnsiTheme="majorBidi" w:cstheme="majorBidi"/>
          <w:spacing w:val="-2"/>
          <w:sz w:val="22"/>
          <w:szCs w:val="22"/>
          <w:u w:val="none"/>
          <w:lang w:eastAsia="en-US" w:bidi="ar-SA"/>
        </w:rPr>
        <w:t xml:space="preserve">Dordrecht. </w:t>
      </w:r>
      <w:r w:rsidR="006C0B4E">
        <w:rPr>
          <w:rFonts w:asciiTheme="majorBidi" w:hAnsiTheme="majorBidi" w:cstheme="majorBidi"/>
          <w:spacing w:val="-2"/>
          <w:sz w:val="22"/>
          <w:szCs w:val="22"/>
          <w:u w:val="none"/>
          <w:lang w:val="fr-FR"/>
        </w:rPr>
        <w:t>300 p.</w:t>
      </w:r>
    </w:p>
    <w:p w14:paraId="207A21A4" w14:textId="3BC33AF7" w:rsidR="006C0B4E" w:rsidRPr="006C0B4E" w:rsidRDefault="006C0B4E" w:rsidP="006C0B4E">
      <w:pPr>
        <w:pStyle w:val="Heading1"/>
        <w:numPr>
          <w:ilvl w:val="0"/>
          <w:numId w:val="5"/>
        </w:numPr>
        <w:shd w:val="clear" w:color="auto" w:fill="FFFFFF"/>
        <w:bidi w:val="0"/>
        <w:spacing w:before="240" w:after="60" w:line="276" w:lineRule="auto"/>
        <w:ind w:right="-204"/>
        <w:rPr>
          <w:rFonts w:asciiTheme="majorBidi" w:hAnsiTheme="majorBidi" w:cstheme="majorBidi"/>
          <w:sz w:val="22"/>
          <w:szCs w:val="22"/>
          <w:u w:val="none"/>
        </w:rPr>
      </w:pPr>
      <w:r w:rsidRPr="006C0B4E">
        <w:rPr>
          <w:rFonts w:asciiTheme="majorBidi" w:hAnsiTheme="majorBidi" w:cstheme="majorBidi"/>
          <w:sz w:val="22"/>
          <w:szCs w:val="22"/>
          <w:u w:val="none"/>
        </w:rPr>
        <w:t xml:space="preserve">Goren-Inbar, N., Alperson-Afil, N., Sharon, G., and </w:t>
      </w:r>
      <w:proofErr w:type="spellStart"/>
      <w:r w:rsidRPr="006C0B4E">
        <w:rPr>
          <w:rFonts w:asciiTheme="majorBidi" w:hAnsiTheme="majorBidi" w:cstheme="majorBidi"/>
          <w:sz w:val="22"/>
          <w:szCs w:val="22"/>
          <w:u w:val="none"/>
        </w:rPr>
        <w:t>Herzlinger</w:t>
      </w:r>
      <w:proofErr w:type="spellEnd"/>
      <w:r w:rsidRPr="006C0B4E">
        <w:rPr>
          <w:rFonts w:asciiTheme="majorBidi" w:hAnsiTheme="majorBidi" w:cstheme="majorBidi"/>
          <w:sz w:val="22"/>
          <w:szCs w:val="22"/>
          <w:u w:val="none"/>
        </w:rPr>
        <w:t xml:space="preserve">, G. </w:t>
      </w:r>
      <w:r w:rsidR="00253727">
        <w:rPr>
          <w:rFonts w:asciiTheme="majorBidi" w:hAnsiTheme="majorBidi" w:cstheme="majorBidi"/>
          <w:sz w:val="22"/>
          <w:szCs w:val="22"/>
          <w:u w:val="none"/>
        </w:rPr>
        <w:t>2018</w:t>
      </w:r>
      <w:r w:rsidRPr="006C0B4E">
        <w:rPr>
          <w:rFonts w:asciiTheme="majorBidi" w:hAnsiTheme="majorBidi" w:cstheme="majorBidi"/>
          <w:sz w:val="22"/>
          <w:szCs w:val="22"/>
          <w:u w:val="none"/>
        </w:rPr>
        <w:t xml:space="preserve">. </w:t>
      </w:r>
      <w:r w:rsidRPr="006C0B4E">
        <w:rPr>
          <w:rFonts w:asciiTheme="majorBidi" w:hAnsiTheme="majorBidi" w:cstheme="majorBidi"/>
          <w:i/>
          <w:iCs/>
          <w:sz w:val="22"/>
          <w:szCs w:val="22"/>
          <w:u w:val="none"/>
        </w:rPr>
        <w:t xml:space="preserve">The Acheulian Site of </w:t>
      </w:r>
      <w:proofErr w:type="spellStart"/>
      <w:r w:rsidRPr="006C0B4E">
        <w:rPr>
          <w:rFonts w:asciiTheme="majorBidi" w:hAnsiTheme="majorBidi" w:cstheme="majorBidi"/>
          <w:i/>
          <w:iCs/>
          <w:sz w:val="22"/>
          <w:szCs w:val="22"/>
          <w:u w:val="none"/>
        </w:rPr>
        <w:t>Gesher</w:t>
      </w:r>
      <w:proofErr w:type="spellEnd"/>
      <w:r w:rsidRPr="006C0B4E">
        <w:rPr>
          <w:rFonts w:asciiTheme="majorBidi" w:hAnsiTheme="majorBidi" w:cstheme="majorBidi"/>
          <w:i/>
          <w:iCs/>
          <w:sz w:val="22"/>
          <w:szCs w:val="22"/>
          <w:u w:val="none"/>
        </w:rPr>
        <w:t xml:space="preserve"> </w:t>
      </w:r>
      <w:proofErr w:type="spellStart"/>
      <w:r w:rsidRPr="006C0B4E">
        <w:rPr>
          <w:rFonts w:asciiTheme="majorBidi" w:hAnsiTheme="majorBidi" w:cstheme="majorBidi"/>
          <w:i/>
          <w:iCs/>
          <w:sz w:val="22"/>
          <w:szCs w:val="22"/>
          <w:u w:val="none"/>
        </w:rPr>
        <w:t>Benot</w:t>
      </w:r>
      <w:proofErr w:type="spellEnd"/>
      <w:r w:rsidRPr="006C0B4E">
        <w:rPr>
          <w:rFonts w:asciiTheme="majorBidi" w:hAnsiTheme="majorBidi" w:cstheme="majorBidi"/>
          <w:i/>
          <w:iCs/>
          <w:sz w:val="22"/>
          <w:szCs w:val="22"/>
          <w:u w:val="none"/>
        </w:rPr>
        <w:t xml:space="preserve"> </w:t>
      </w:r>
      <w:proofErr w:type="spellStart"/>
      <w:r w:rsidRPr="006C0B4E">
        <w:rPr>
          <w:rFonts w:asciiTheme="majorBidi" w:hAnsiTheme="majorBidi" w:cstheme="majorBidi"/>
          <w:i/>
          <w:iCs/>
          <w:sz w:val="22"/>
          <w:szCs w:val="22"/>
          <w:u w:val="none"/>
        </w:rPr>
        <w:t>Yaʻaqov</w:t>
      </w:r>
      <w:proofErr w:type="spellEnd"/>
      <w:r w:rsidRPr="006C0B4E">
        <w:rPr>
          <w:rFonts w:asciiTheme="majorBidi" w:hAnsiTheme="majorBidi" w:cstheme="majorBidi"/>
          <w:i/>
          <w:iCs/>
          <w:sz w:val="22"/>
          <w:szCs w:val="22"/>
          <w:u w:val="none"/>
        </w:rPr>
        <w:t xml:space="preserve"> Volume IV: The Lithic Assemblages. </w:t>
      </w:r>
      <w:r w:rsidRPr="006C0B4E">
        <w:rPr>
          <w:rFonts w:asciiTheme="majorBidi" w:hAnsiTheme="majorBidi" w:cstheme="majorBidi"/>
          <w:sz w:val="22"/>
          <w:szCs w:val="22"/>
          <w:u w:val="none"/>
        </w:rPr>
        <w:t xml:space="preserve">Springer, </w:t>
      </w:r>
      <w:proofErr w:type="spellStart"/>
      <w:r w:rsidRPr="006C0B4E">
        <w:rPr>
          <w:rFonts w:asciiTheme="majorBidi" w:hAnsiTheme="majorBidi" w:cstheme="majorBidi"/>
          <w:sz w:val="22"/>
          <w:szCs w:val="22"/>
          <w:u w:val="none"/>
        </w:rPr>
        <w:t>Dordecht</w:t>
      </w:r>
      <w:proofErr w:type="spellEnd"/>
      <w:r w:rsidRPr="006C0B4E">
        <w:rPr>
          <w:rFonts w:asciiTheme="majorBidi" w:hAnsiTheme="majorBidi" w:cstheme="majorBidi"/>
          <w:sz w:val="22"/>
          <w:szCs w:val="22"/>
          <w:u w:val="none"/>
        </w:rPr>
        <w:t>, 516</w:t>
      </w:r>
      <w:r>
        <w:rPr>
          <w:rFonts w:asciiTheme="majorBidi" w:hAnsiTheme="majorBidi" w:cstheme="majorBidi"/>
          <w:sz w:val="22"/>
          <w:szCs w:val="22"/>
          <w:u w:val="none"/>
        </w:rPr>
        <w:t xml:space="preserve"> </w:t>
      </w:r>
      <w:r w:rsidRPr="006C0B4E">
        <w:rPr>
          <w:rFonts w:asciiTheme="majorBidi" w:hAnsiTheme="majorBidi" w:cstheme="majorBidi"/>
          <w:sz w:val="22"/>
          <w:szCs w:val="22"/>
          <w:u w:val="none"/>
        </w:rPr>
        <w:t>p</w:t>
      </w:r>
      <w:r>
        <w:rPr>
          <w:rFonts w:asciiTheme="majorBidi" w:hAnsiTheme="majorBidi" w:cstheme="majorBidi"/>
          <w:sz w:val="22"/>
          <w:szCs w:val="22"/>
          <w:u w:val="none"/>
        </w:rPr>
        <w:t>.</w:t>
      </w:r>
    </w:p>
    <w:p w14:paraId="0869663A" w14:textId="77777777" w:rsidR="00EF1784" w:rsidRPr="006C0B4E" w:rsidRDefault="005C036F" w:rsidP="00BB71FB">
      <w:pPr>
        <w:pBdr>
          <w:bottom w:val="single" w:sz="4" w:space="1" w:color="auto"/>
        </w:pBdr>
        <w:tabs>
          <w:tab w:val="left" w:pos="375"/>
          <w:tab w:val="left" w:pos="658"/>
          <w:tab w:val="left" w:pos="2643"/>
          <w:tab w:val="right" w:pos="8029"/>
        </w:tabs>
        <w:bidi w:val="0"/>
        <w:rPr>
          <w:rFonts w:asciiTheme="majorBidi" w:hAnsiTheme="majorBidi" w:cs="Times New Roman"/>
          <w:sz w:val="22"/>
          <w:szCs w:val="22"/>
          <w:rtl/>
        </w:rPr>
      </w:pPr>
      <w:r w:rsidRPr="006C0B4E">
        <w:rPr>
          <w:rFonts w:asciiTheme="majorBidi" w:hAnsiTheme="majorBidi" w:cs="Times New Roman"/>
          <w:sz w:val="22"/>
          <w:szCs w:val="22"/>
          <w:rtl/>
        </w:rPr>
        <w:tab/>
      </w:r>
      <w:r w:rsidRPr="006C0B4E">
        <w:rPr>
          <w:rFonts w:asciiTheme="majorBidi" w:hAnsiTheme="majorBidi" w:cs="Times New Roman"/>
          <w:sz w:val="22"/>
          <w:szCs w:val="22"/>
          <w:rtl/>
        </w:rPr>
        <w:tab/>
      </w:r>
    </w:p>
    <w:p w14:paraId="4E8363C9" w14:textId="28B27BAA" w:rsidR="000D6017" w:rsidRDefault="000D6017" w:rsidP="006C0B4E">
      <w:pPr>
        <w:tabs>
          <w:tab w:val="left" w:pos="375"/>
          <w:tab w:val="left" w:pos="658"/>
          <w:tab w:val="left" w:pos="2643"/>
          <w:tab w:val="right" w:pos="8029"/>
        </w:tabs>
        <w:bidi w:val="0"/>
        <w:rPr>
          <w:rFonts w:asciiTheme="majorBidi" w:hAnsiTheme="majorBidi" w:cs="Times New Roman"/>
          <w:b/>
          <w:bCs/>
          <w:i/>
          <w:iCs/>
          <w:sz w:val="22"/>
          <w:szCs w:val="22"/>
        </w:rPr>
      </w:pPr>
    </w:p>
    <w:p w14:paraId="623EE5F9" w14:textId="22096AA9" w:rsidR="00BB71FB" w:rsidRDefault="00BB71FB" w:rsidP="00BB71FB">
      <w:pPr>
        <w:tabs>
          <w:tab w:val="left" w:pos="375"/>
          <w:tab w:val="left" w:pos="658"/>
          <w:tab w:val="left" w:pos="2643"/>
          <w:tab w:val="right" w:pos="8029"/>
        </w:tabs>
        <w:bidi w:val="0"/>
        <w:rPr>
          <w:rFonts w:asciiTheme="majorBidi" w:hAnsiTheme="majorBidi" w:cs="Times New Roman"/>
          <w:b/>
          <w:bCs/>
          <w:i/>
          <w:iCs/>
          <w:sz w:val="22"/>
          <w:szCs w:val="22"/>
        </w:rPr>
      </w:pPr>
    </w:p>
    <w:p w14:paraId="5E4D89C5" w14:textId="0CBE17DA" w:rsidR="00BB71FB" w:rsidRDefault="00BB71FB" w:rsidP="00BB71FB">
      <w:pPr>
        <w:pBdr>
          <w:top w:val="single" w:sz="4" w:space="1" w:color="auto"/>
        </w:pBdr>
        <w:tabs>
          <w:tab w:val="left" w:pos="375"/>
          <w:tab w:val="left" w:pos="658"/>
          <w:tab w:val="left" w:pos="2643"/>
          <w:tab w:val="right" w:pos="8029"/>
        </w:tabs>
        <w:bidi w:val="0"/>
        <w:rPr>
          <w:rFonts w:asciiTheme="majorBidi" w:hAnsiTheme="majorBidi" w:cs="Times New Roman"/>
          <w:b/>
          <w:bCs/>
          <w:i/>
          <w:iCs/>
          <w:sz w:val="22"/>
          <w:szCs w:val="22"/>
        </w:rPr>
      </w:pPr>
      <w:r>
        <w:rPr>
          <w:rFonts w:asciiTheme="majorBidi" w:hAnsiTheme="majorBidi" w:cs="Times New Roman"/>
          <w:b/>
          <w:bCs/>
          <w:i/>
          <w:iCs/>
          <w:sz w:val="22"/>
          <w:szCs w:val="22"/>
        </w:rPr>
        <w:t>Articles</w:t>
      </w:r>
    </w:p>
    <w:p w14:paraId="73A5B03A" w14:textId="77777777" w:rsidR="00BB71FB" w:rsidRPr="000D6017" w:rsidRDefault="00BB71FB" w:rsidP="00BB71FB">
      <w:pPr>
        <w:pBdr>
          <w:top w:val="single" w:sz="4" w:space="1" w:color="auto"/>
        </w:pBdr>
        <w:tabs>
          <w:tab w:val="left" w:pos="375"/>
          <w:tab w:val="left" w:pos="658"/>
          <w:tab w:val="left" w:pos="2643"/>
          <w:tab w:val="right" w:pos="8029"/>
        </w:tabs>
        <w:bidi w:val="0"/>
        <w:rPr>
          <w:rFonts w:asciiTheme="majorBidi" w:hAnsiTheme="majorBidi" w:cs="Times New Roman"/>
          <w:b/>
          <w:bCs/>
          <w:i/>
          <w:iCs/>
          <w:sz w:val="22"/>
          <w:szCs w:val="22"/>
        </w:rPr>
      </w:pPr>
    </w:p>
    <w:p w14:paraId="2197F003" w14:textId="77777777" w:rsidR="008520E4" w:rsidRDefault="008520E4" w:rsidP="006C0B4E">
      <w:pPr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right="284" w:hanging="734"/>
        <w:rPr>
          <w:rFonts w:asciiTheme="majorBidi" w:hAnsiTheme="majorBidi" w:cs="Times New Roman"/>
          <w:sz w:val="22"/>
          <w:szCs w:val="22"/>
        </w:rPr>
      </w:pPr>
      <w:proofErr w:type="spellStart"/>
      <w:r w:rsidRPr="000D6017">
        <w:rPr>
          <w:rFonts w:asciiTheme="majorBidi" w:hAnsiTheme="majorBidi" w:cs="Times New Roman"/>
          <w:sz w:val="22"/>
          <w:szCs w:val="22"/>
        </w:rPr>
        <w:t>Alperson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, N., Barzilai, O., Dag, D., Hartman, G. and </w:t>
      </w:r>
      <w:proofErr w:type="spellStart"/>
      <w:r w:rsidRPr="000D6017">
        <w:rPr>
          <w:rFonts w:asciiTheme="majorBidi" w:hAnsiTheme="majorBidi" w:cs="Times New Roman"/>
          <w:sz w:val="22"/>
          <w:szCs w:val="22"/>
        </w:rPr>
        <w:t>Matskevich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, Z. 2000. The age and context of the Tabun I skeleton: A reply to </w:t>
      </w:r>
      <w:proofErr w:type="spellStart"/>
      <w:r w:rsidRPr="000D6017">
        <w:rPr>
          <w:rFonts w:asciiTheme="majorBidi" w:hAnsiTheme="majorBidi" w:cs="Times New Roman"/>
          <w:sz w:val="22"/>
          <w:szCs w:val="22"/>
        </w:rPr>
        <w:t>Schwarcz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 </w:t>
      </w:r>
      <w:r w:rsidRPr="000D6017">
        <w:rPr>
          <w:rFonts w:asciiTheme="majorBidi" w:hAnsiTheme="majorBidi" w:cs="Times New Roman"/>
          <w:i/>
          <w:iCs/>
          <w:sz w:val="22"/>
          <w:szCs w:val="22"/>
        </w:rPr>
        <w:t>et al</w:t>
      </w:r>
      <w:r w:rsidRPr="000D6017">
        <w:rPr>
          <w:rFonts w:asciiTheme="majorBidi" w:hAnsiTheme="majorBidi" w:cs="Times New Roman"/>
          <w:sz w:val="22"/>
          <w:szCs w:val="22"/>
        </w:rPr>
        <w:t xml:space="preserve">. </w:t>
      </w:r>
      <w:r w:rsidRPr="000D6017">
        <w:rPr>
          <w:rFonts w:asciiTheme="majorBidi" w:hAnsiTheme="majorBidi" w:cs="Times New Roman"/>
          <w:i/>
          <w:iCs/>
          <w:sz w:val="22"/>
          <w:szCs w:val="22"/>
        </w:rPr>
        <w:t>Journal of Human Evolution</w:t>
      </w:r>
      <w:r w:rsidRPr="000D6017">
        <w:rPr>
          <w:rFonts w:asciiTheme="majorBidi" w:hAnsiTheme="majorBidi" w:cs="Times New Roman"/>
          <w:sz w:val="22"/>
          <w:szCs w:val="22"/>
        </w:rPr>
        <w:t xml:space="preserve"> 38: 849–853.</w:t>
      </w:r>
    </w:p>
    <w:p w14:paraId="5CDF5C55" w14:textId="77777777" w:rsidR="00851811" w:rsidRDefault="00851811" w:rsidP="00C37BBA">
      <w:pPr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Fonts w:asciiTheme="majorBidi" w:hAnsiTheme="majorBidi" w:cs="Times New Roman"/>
          <w:sz w:val="22"/>
          <w:szCs w:val="22"/>
        </w:rPr>
      </w:pPr>
      <w:proofErr w:type="spellStart"/>
      <w:r w:rsidRPr="00851811">
        <w:rPr>
          <w:rFonts w:asciiTheme="majorBidi" w:hAnsiTheme="majorBidi" w:cs="Times New Roman"/>
          <w:sz w:val="22"/>
          <w:szCs w:val="22"/>
        </w:rPr>
        <w:t>Alperson</w:t>
      </w:r>
      <w:proofErr w:type="spellEnd"/>
      <w:r w:rsidRPr="00851811">
        <w:rPr>
          <w:rFonts w:asciiTheme="majorBidi" w:hAnsiTheme="majorBidi" w:cs="Times New Roman"/>
          <w:sz w:val="22"/>
          <w:szCs w:val="22"/>
        </w:rPr>
        <w:t xml:space="preserve">, N. and Garfinkel, Y. 2002. The flint knapping industry. In: Garfinkel, Y. and Miller, M. A. (eds.) </w:t>
      </w:r>
      <w:proofErr w:type="spellStart"/>
      <w:proofErr w:type="gramStart"/>
      <w:r w:rsidRPr="00851811">
        <w:rPr>
          <w:rFonts w:asciiTheme="majorBidi" w:hAnsiTheme="majorBidi" w:cs="Times New Roman"/>
          <w:i/>
          <w:iCs/>
          <w:sz w:val="22"/>
          <w:szCs w:val="22"/>
        </w:rPr>
        <w:t>Sha‘</w:t>
      </w:r>
      <w:proofErr w:type="gramEnd"/>
      <w:r w:rsidRPr="00851811">
        <w:rPr>
          <w:rFonts w:asciiTheme="majorBidi" w:hAnsiTheme="majorBidi" w:cs="Times New Roman"/>
          <w:i/>
          <w:iCs/>
          <w:sz w:val="22"/>
          <w:szCs w:val="22"/>
        </w:rPr>
        <w:t>ar</w:t>
      </w:r>
      <w:proofErr w:type="spellEnd"/>
      <w:r w:rsidRPr="00851811">
        <w:rPr>
          <w:rFonts w:asciiTheme="majorBidi" w:hAnsiTheme="majorBidi" w:cs="Times New Roman"/>
          <w:i/>
          <w:iCs/>
          <w:sz w:val="22"/>
          <w:szCs w:val="22"/>
        </w:rPr>
        <w:t xml:space="preserve"> </w:t>
      </w:r>
      <w:proofErr w:type="spellStart"/>
      <w:r w:rsidRPr="00851811">
        <w:rPr>
          <w:rFonts w:asciiTheme="majorBidi" w:hAnsiTheme="majorBidi" w:cs="Times New Roman"/>
          <w:i/>
          <w:iCs/>
          <w:sz w:val="22"/>
          <w:szCs w:val="22"/>
        </w:rPr>
        <w:t>Hagolan</w:t>
      </w:r>
      <w:proofErr w:type="spellEnd"/>
      <w:r w:rsidRPr="00851811">
        <w:rPr>
          <w:rFonts w:asciiTheme="majorBidi" w:hAnsiTheme="majorBidi" w:cs="Times New Roman"/>
          <w:i/>
          <w:iCs/>
          <w:sz w:val="22"/>
          <w:szCs w:val="22"/>
        </w:rPr>
        <w:t xml:space="preserve"> 1: Neolithic Art in Context</w:t>
      </w:r>
      <w:r w:rsidRPr="00851811">
        <w:rPr>
          <w:rFonts w:asciiTheme="majorBidi" w:hAnsiTheme="majorBidi" w:cs="Times New Roman"/>
          <w:sz w:val="22"/>
          <w:szCs w:val="22"/>
        </w:rPr>
        <w:t>, pp. 146–175. Oxford: Oxbow Books.</w:t>
      </w:r>
    </w:p>
    <w:p w14:paraId="7FE62063" w14:textId="77777777" w:rsidR="006B5B0E" w:rsidRPr="006B5B0E" w:rsidRDefault="006B5B0E" w:rsidP="006B5B0E">
      <w:p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-141" w:right="284"/>
        <w:rPr>
          <w:rFonts w:asciiTheme="majorBidi" w:hAnsiTheme="majorBidi" w:cs="Times New Roman"/>
          <w:sz w:val="22"/>
          <w:szCs w:val="22"/>
        </w:rPr>
      </w:pPr>
    </w:p>
    <w:p w14:paraId="3A756B4E" w14:textId="77777777" w:rsidR="008520E4" w:rsidRPr="00851811" w:rsidRDefault="008520E4" w:rsidP="006B5B0E">
      <w:pPr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Fonts w:asciiTheme="majorBidi" w:hAnsiTheme="majorBidi" w:cs="Times New Roman"/>
          <w:sz w:val="22"/>
          <w:szCs w:val="22"/>
        </w:rPr>
      </w:pPr>
      <w:r w:rsidRPr="00851811">
        <w:rPr>
          <w:rFonts w:asciiTheme="majorBidi" w:hAnsiTheme="majorBidi" w:cs="Times New Roman"/>
          <w:sz w:val="22"/>
          <w:szCs w:val="22"/>
          <w:lang w:val="de-DE"/>
        </w:rPr>
        <w:t>Goren-</w:t>
      </w:r>
      <w:proofErr w:type="spellStart"/>
      <w:r w:rsidRPr="00851811">
        <w:rPr>
          <w:rFonts w:asciiTheme="majorBidi" w:hAnsiTheme="majorBidi" w:cs="Times New Roman"/>
          <w:sz w:val="22"/>
          <w:szCs w:val="22"/>
          <w:lang w:val="de-DE"/>
        </w:rPr>
        <w:t>Inbar</w:t>
      </w:r>
      <w:proofErr w:type="spellEnd"/>
      <w:r w:rsidRPr="00851811">
        <w:rPr>
          <w:rFonts w:asciiTheme="majorBidi" w:hAnsiTheme="majorBidi" w:cs="Times New Roman"/>
          <w:sz w:val="22"/>
          <w:szCs w:val="22"/>
          <w:lang w:val="de-DE"/>
        </w:rPr>
        <w:t xml:space="preserve">, N., </w:t>
      </w:r>
      <w:proofErr w:type="spellStart"/>
      <w:r w:rsidRPr="00851811">
        <w:rPr>
          <w:rFonts w:asciiTheme="majorBidi" w:hAnsiTheme="majorBidi" w:cs="Times New Roman"/>
          <w:sz w:val="22"/>
          <w:szCs w:val="22"/>
          <w:lang w:val="de-DE"/>
        </w:rPr>
        <w:t>Alperson</w:t>
      </w:r>
      <w:proofErr w:type="spellEnd"/>
      <w:r w:rsidRPr="00851811">
        <w:rPr>
          <w:rFonts w:asciiTheme="majorBidi" w:hAnsiTheme="majorBidi" w:cs="Times New Roman"/>
          <w:sz w:val="22"/>
          <w:szCs w:val="22"/>
          <w:lang w:val="de-DE"/>
        </w:rPr>
        <w:t xml:space="preserve">, N., </w:t>
      </w:r>
      <w:proofErr w:type="spellStart"/>
      <w:r w:rsidRPr="00851811">
        <w:rPr>
          <w:rFonts w:asciiTheme="majorBidi" w:hAnsiTheme="majorBidi" w:cs="Times New Roman"/>
          <w:sz w:val="22"/>
          <w:szCs w:val="22"/>
          <w:lang w:val="de-DE"/>
        </w:rPr>
        <w:t>Kislev</w:t>
      </w:r>
      <w:proofErr w:type="spellEnd"/>
      <w:r w:rsidRPr="00851811">
        <w:rPr>
          <w:rFonts w:asciiTheme="majorBidi" w:hAnsiTheme="majorBidi" w:cs="Times New Roman"/>
          <w:sz w:val="22"/>
          <w:szCs w:val="22"/>
          <w:lang w:val="de-DE"/>
        </w:rPr>
        <w:t xml:space="preserve">, M. E., </w:t>
      </w:r>
      <w:proofErr w:type="spellStart"/>
      <w:r w:rsidRPr="00851811">
        <w:rPr>
          <w:rFonts w:asciiTheme="majorBidi" w:hAnsiTheme="majorBidi" w:cs="Times New Roman"/>
          <w:sz w:val="22"/>
          <w:szCs w:val="22"/>
          <w:lang w:val="de-DE"/>
        </w:rPr>
        <w:t>Simchoni</w:t>
      </w:r>
      <w:proofErr w:type="spellEnd"/>
      <w:r w:rsidRPr="00851811">
        <w:rPr>
          <w:rFonts w:asciiTheme="majorBidi" w:hAnsiTheme="majorBidi" w:cs="Times New Roman"/>
          <w:sz w:val="22"/>
          <w:szCs w:val="22"/>
          <w:lang w:val="de-DE"/>
        </w:rPr>
        <w:t xml:space="preserve">, O., </w:t>
      </w:r>
      <w:proofErr w:type="spellStart"/>
      <w:r w:rsidRPr="00851811">
        <w:rPr>
          <w:rFonts w:asciiTheme="majorBidi" w:hAnsiTheme="majorBidi" w:cs="Times New Roman"/>
          <w:sz w:val="22"/>
          <w:szCs w:val="22"/>
          <w:lang w:val="de-DE"/>
        </w:rPr>
        <w:t>Melamed</w:t>
      </w:r>
      <w:proofErr w:type="spellEnd"/>
      <w:r w:rsidRPr="00851811">
        <w:rPr>
          <w:rFonts w:asciiTheme="majorBidi" w:hAnsiTheme="majorBidi" w:cs="Times New Roman"/>
          <w:sz w:val="22"/>
          <w:szCs w:val="22"/>
          <w:lang w:val="de-DE"/>
        </w:rPr>
        <w:t xml:space="preserve">, Y., Ben-Nun, A. and Werker, E. 2004. </w:t>
      </w:r>
      <w:r w:rsidRPr="00851811">
        <w:rPr>
          <w:rFonts w:asciiTheme="majorBidi" w:hAnsiTheme="majorBidi" w:cs="Times New Roman"/>
          <w:sz w:val="22"/>
          <w:szCs w:val="22"/>
        </w:rPr>
        <w:t xml:space="preserve">Evidence of hominin control of fire at </w:t>
      </w:r>
      <w:proofErr w:type="spellStart"/>
      <w:r w:rsidRPr="00851811">
        <w:rPr>
          <w:rFonts w:asciiTheme="majorBidi" w:hAnsiTheme="majorBidi" w:cs="Times New Roman"/>
          <w:sz w:val="22"/>
          <w:szCs w:val="22"/>
        </w:rPr>
        <w:t>Gesher</w:t>
      </w:r>
      <w:proofErr w:type="spellEnd"/>
      <w:r w:rsidRPr="00851811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851811">
        <w:rPr>
          <w:rFonts w:asciiTheme="majorBidi" w:hAnsiTheme="majorBidi" w:cs="Times New Roman"/>
          <w:sz w:val="22"/>
          <w:szCs w:val="22"/>
        </w:rPr>
        <w:t>Benot</w:t>
      </w:r>
      <w:proofErr w:type="spellEnd"/>
      <w:r w:rsidRPr="00851811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proofErr w:type="gramStart"/>
      <w:r w:rsidRPr="00851811">
        <w:rPr>
          <w:rFonts w:asciiTheme="majorBidi" w:hAnsiTheme="majorBidi" w:cs="Times New Roman"/>
          <w:sz w:val="22"/>
          <w:szCs w:val="22"/>
        </w:rPr>
        <w:t>Ya‘</w:t>
      </w:r>
      <w:proofErr w:type="gramEnd"/>
      <w:r w:rsidRPr="00851811">
        <w:rPr>
          <w:rFonts w:asciiTheme="majorBidi" w:hAnsiTheme="majorBidi" w:cs="Times New Roman"/>
          <w:sz w:val="22"/>
          <w:szCs w:val="22"/>
        </w:rPr>
        <w:t>aqov</w:t>
      </w:r>
      <w:proofErr w:type="spellEnd"/>
      <w:r w:rsidRPr="00851811">
        <w:rPr>
          <w:rFonts w:asciiTheme="majorBidi" w:hAnsiTheme="majorBidi" w:cs="Times New Roman"/>
          <w:sz w:val="22"/>
          <w:szCs w:val="22"/>
        </w:rPr>
        <w:t xml:space="preserve">, Israel. </w:t>
      </w:r>
      <w:r w:rsidRPr="00851811">
        <w:rPr>
          <w:rFonts w:asciiTheme="majorBidi" w:hAnsiTheme="majorBidi" w:cs="Times New Roman"/>
          <w:i/>
          <w:iCs/>
          <w:sz w:val="22"/>
          <w:szCs w:val="22"/>
        </w:rPr>
        <w:t>Science</w:t>
      </w:r>
      <w:r w:rsidRPr="00851811">
        <w:rPr>
          <w:rFonts w:asciiTheme="majorBidi" w:hAnsiTheme="majorBidi" w:cs="Times New Roman"/>
          <w:sz w:val="22"/>
          <w:szCs w:val="22"/>
        </w:rPr>
        <w:t xml:space="preserve"> 304: 725–727.</w:t>
      </w:r>
    </w:p>
    <w:p w14:paraId="45A25432" w14:textId="77777777" w:rsidR="008520E4" w:rsidRPr="000D6017" w:rsidRDefault="008520E4" w:rsidP="006C0B4E">
      <w:pPr>
        <w:pStyle w:val="ListParagraph"/>
        <w:bidi w:val="0"/>
        <w:rPr>
          <w:rFonts w:asciiTheme="majorBidi" w:hAnsiTheme="majorBidi" w:cs="Times New Roman"/>
          <w:sz w:val="22"/>
          <w:szCs w:val="22"/>
        </w:rPr>
      </w:pPr>
    </w:p>
    <w:p w14:paraId="7F84D93A" w14:textId="77777777" w:rsidR="008520E4" w:rsidRPr="000D6017" w:rsidRDefault="008520E4" w:rsidP="006C0B4E">
      <w:pPr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Fonts w:asciiTheme="majorBidi" w:hAnsiTheme="majorBidi" w:cs="Times New Roman"/>
          <w:sz w:val="22"/>
          <w:szCs w:val="22"/>
          <w:lang w:eastAsia="en-US"/>
        </w:rPr>
      </w:pPr>
      <w:r w:rsidRPr="000D6017">
        <w:rPr>
          <w:rFonts w:asciiTheme="majorBidi" w:hAnsiTheme="majorBidi" w:cs="Times New Roman"/>
          <w:sz w:val="22"/>
          <w:szCs w:val="22"/>
        </w:rPr>
        <w:t xml:space="preserve">Alperson-Afil, N. and Hovers, E. 2005. Differential use of space in the Neandertal site of </w:t>
      </w:r>
      <w:proofErr w:type="spellStart"/>
      <w:r w:rsidRPr="000D6017">
        <w:rPr>
          <w:rFonts w:asciiTheme="majorBidi" w:hAnsiTheme="majorBidi" w:cs="Times New Roman"/>
          <w:sz w:val="22"/>
          <w:szCs w:val="22"/>
        </w:rPr>
        <w:t>Amud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 Cave, Israel. </w:t>
      </w:r>
      <w:proofErr w:type="spellStart"/>
      <w:r w:rsidRPr="000D6017">
        <w:rPr>
          <w:rFonts w:asciiTheme="majorBidi" w:hAnsiTheme="majorBidi" w:cs="Times New Roman"/>
          <w:i/>
          <w:iCs/>
          <w:sz w:val="22"/>
          <w:szCs w:val="22"/>
        </w:rPr>
        <w:t>Euroasian</w:t>
      </w:r>
      <w:proofErr w:type="spellEnd"/>
      <w:r w:rsidRPr="000D6017">
        <w:rPr>
          <w:rFonts w:asciiTheme="majorBidi" w:hAnsiTheme="majorBidi" w:cs="Times New Roman"/>
          <w:i/>
          <w:iCs/>
          <w:sz w:val="22"/>
          <w:szCs w:val="22"/>
        </w:rPr>
        <w:t xml:space="preserve"> Prehistory</w:t>
      </w:r>
      <w:r w:rsidRPr="000D6017">
        <w:rPr>
          <w:rFonts w:asciiTheme="majorBidi" w:hAnsiTheme="majorBidi" w:cs="Times New Roman"/>
          <w:sz w:val="22"/>
          <w:szCs w:val="22"/>
        </w:rPr>
        <w:t xml:space="preserve"> 3(1):3–22. </w:t>
      </w:r>
    </w:p>
    <w:p w14:paraId="268E88D2" w14:textId="77777777" w:rsidR="008520E4" w:rsidRPr="000D6017" w:rsidRDefault="008520E4" w:rsidP="006C0B4E">
      <w:pPr>
        <w:pStyle w:val="ListParagraph"/>
        <w:bidi w:val="0"/>
        <w:rPr>
          <w:rFonts w:asciiTheme="majorBidi" w:hAnsiTheme="majorBidi" w:cs="Times New Roman"/>
          <w:sz w:val="22"/>
          <w:szCs w:val="22"/>
          <w:lang w:eastAsia="en-US"/>
        </w:rPr>
      </w:pPr>
    </w:p>
    <w:p w14:paraId="4523B8C8" w14:textId="77777777" w:rsidR="008520E4" w:rsidRPr="000D6017" w:rsidRDefault="008520E4" w:rsidP="006C0B4E">
      <w:pPr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Fonts w:asciiTheme="majorBidi" w:hAnsiTheme="majorBidi" w:cs="Times New Roman"/>
          <w:sz w:val="22"/>
          <w:szCs w:val="22"/>
        </w:rPr>
      </w:pPr>
      <w:r w:rsidRPr="000D6017">
        <w:rPr>
          <w:rFonts w:asciiTheme="majorBidi" w:hAnsiTheme="majorBidi" w:cs="Times New Roman"/>
          <w:sz w:val="22"/>
          <w:szCs w:val="22"/>
          <w:lang w:eastAsia="en-US"/>
        </w:rPr>
        <w:t xml:space="preserve">Alperson-Afil, N. and N. Goren-Inbar. 2006. Out of Africa and into Eurasia with controlled use of fire: evidence from </w:t>
      </w:r>
      <w:proofErr w:type="spellStart"/>
      <w:r w:rsidRPr="000D6017">
        <w:rPr>
          <w:rFonts w:asciiTheme="majorBidi" w:hAnsiTheme="majorBidi" w:cs="Times New Roman"/>
          <w:sz w:val="22"/>
          <w:szCs w:val="22"/>
          <w:lang w:eastAsia="en-US"/>
        </w:rPr>
        <w:t>Gesher</w:t>
      </w:r>
      <w:proofErr w:type="spellEnd"/>
      <w:r w:rsidRPr="000D6017">
        <w:rPr>
          <w:rFonts w:asciiTheme="majorBidi" w:hAnsiTheme="majorBidi" w:cs="Times New Roman"/>
          <w:sz w:val="22"/>
          <w:szCs w:val="22"/>
          <w:lang w:eastAsia="en-US"/>
        </w:rPr>
        <w:t xml:space="preserve"> </w:t>
      </w:r>
      <w:proofErr w:type="spellStart"/>
      <w:r w:rsidRPr="000D6017">
        <w:rPr>
          <w:rFonts w:asciiTheme="majorBidi" w:hAnsiTheme="majorBidi" w:cs="Times New Roman"/>
          <w:sz w:val="22"/>
          <w:szCs w:val="22"/>
          <w:lang w:eastAsia="en-US"/>
        </w:rPr>
        <w:t>Benot</w:t>
      </w:r>
      <w:proofErr w:type="spellEnd"/>
      <w:r w:rsidRPr="000D6017">
        <w:rPr>
          <w:rFonts w:asciiTheme="majorBidi" w:hAnsiTheme="majorBidi" w:cs="Times New Roman"/>
          <w:sz w:val="22"/>
          <w:szCs w:val="22"/>
          <w:lang w:eastAsia="en-US"/>
        </w:rPr>
        <w:t xml:space="preserve"> </w:t>
      </w:r>
      <w:proofErr w:type="spellStart"/>
      <w:r w:rsidRPr="000D6017">
        <w:rPr>
          <w:rFonts w:asciiTheme="majorBidi" w:hAnsiTheme="majorBidi" w:cs="Times New Roman"/>
          <w:sz w:val="22"/>
          <w:szCs w:val="22"/>
          <w:lang w:eastAsia="en-US"/>
        </w:rPr>
        <w:t>Ya'aqov</w:t>
      </w:r>
      <w:proofErr w:type="spellEnd"/>
      <w:r w:rsidRPr="000D6017">
        <w:rPr>
          <w:rFonts w:asciiTheme="majorBidi" w:hAnsiTheme="majorBidi" w:cs="Times New Roman"/>
          <w:sz w:val="22"/>
          <w:szCs w:val="22"/>
          <w:lang w:eastAsia="en-US"/>
        </w:rPr>
        <w:t xml:space="preserve">, Israel. </w:t>
      </w:r>
      <w:r w:rsidRPr="000D6017">
        <w:rPr>
          <w:rFonts w:asciiTheme="majorBidi" w:hAnsiTheme="majorBidi" w:cs="Times New Roman"/>
          <w:i/>
          <w:iCs/>
          <w:sz w:val="22"/>
          <w:szCs w:val="22"/>
          <w:lang w:eastAsia="en-US"/>
        </w:rPr>
        <w:t>Archaeology, Ethnology &amp; Anthropology of Eurasia</w:t>
      </w:r>
      <w:r w:rsidRPr="000D6017">
        <w:rPr>
          <w:rFonts w:asciiTheme="majorBidi" w:hAnsiTheme="majorBidi" w:cs="Times New Roman"/>
          <w:sz w:val="22"/>
          <w:szCs w:val="22"/>
          <w:lang w:eastAsia="en-US"/>
        </w:rPr>
        <w:t xml:space="preserve"> 4(28):63</w:t>
      </w:r>
      <w:r w:rsidRPr="000D6017">
        <w:rPr>
          <w:rFonts w:asciiTheme="majorBidi" w:hAnsiTheme="majorBidi" w:cs="Times New Roman"/>
          <w:sz w:val="22"/>
          <w:szCs w:val="22"/>
        </w:rPr>
        <w:t>–</w:t>
      </w:r>
      <w:r w:rsidRPr="000D6017">
        <w:rPr>
          <w:rFonts w:asciiTheme="majorBidi" w:hAnsiTheme="majorBidi" w:cs="Times New Roman"/>
          <w:sz w:val="22"/>
          <w:szCs w:val="22"/>
          <w:lang w:eastAsia="en-US"/>
        </w:rPr>
        <w:t>78.</w:t>
      </w:r>
    </w:p>
    <w:p w14:paraId="067497FE" w14:textId="77777777" w:rsidR="008520E4" w:rsidRPr="000D6017" w:rsidRDefault="008520E4" w:rsidP="006C0B4E">
      <w:pPr>
        <w:pStyle w:val="ListParagraph"/>
        <w:bidi w:val="0"/>
        <w:rPr>
          <w:rFonts w:asciiTheme="majorBidi" w:hAnsiTheme="majorBidi" w:cs="Times New Roman"/>
          <w:sz w:val="22"/>
          <w:szCs w:val="22"/>
        </w:rPr>
      </w:pPr>
    </w:p>
    <w:p w14:paraId="41F79BC1" w14:textId="77777777" w:rsidR="008520E4" w:rsidRPr="000D6017" w:rsidRDefault="008520E4" w:rsidP="006C0B4E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Fonts w:asciiTheme="majorBidi" w:hAnsiTheme="majorBidi" w:cs="Times New Roman"/>
          <w:sz w:val="22"/>
          <w:szCs w:val="22"/>
        </w:rPr>
      </w:pPr>
      <w:r w:rsidRPr="000D6017">
        <w:rPr>
          <w:rFonts w:asciiTheme="majorBidi" w:hAnsiTheme="majorBidi" w:cs="Times New Roman"/>
          <w:sz w:val="22"/>
          <w:szCs w:val="22"/>
        </w:rPr>
        <w:t xml:space="preserve">Alperson-Afil, N., Richter, D., and Goren-Inbar, N. 2007. Phantom hearths and the use of fire at </w:t>
      </w:r>
      <w:proofErr w:type="spellStart"/>
      <w:r w:rsidRPr="000D6017">
        <w:rPr>
          <w:rFonts w:asciiTheme="majorBidi" w:hAnsiTheme="majorBidi" w:cs="Times New Roman"/>
          <w:sz w:val="22"/>
          <w:szCs w:val="22"/>
        </w:rPr>
        <w:t>Gesher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0D6017">
        <w:rPr>
          <w:rFonts w:asciiTheme="majorBidi" w:hAnsiTheme="majorBidi" w:cs="Times New Roman"/>
          <w:sz w:val="22"/>
          <w:szCs w:val="22"/>
        </w:rPr>
        <w:t>Benot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proofErr w:type="gramStart"/>
      <w:r w:rsidRPr="000D6017">
        <w:rPr>
          <w:rFonts w:asciiTheme="majorBidi" w:hAnsiTheme="majorBidi" w:cs="Times New Roman"/>
          <w:sz w:val="22"/>
          <w:szCs w:val="22"/>
        </w:rPr>
        <w:t>Ya‘</w:t>
      </w:r>
      <w:proofErr w:type="gramEnd"/>
      <w:r w:rsidRPr="000D6017">
        <w:rPr>
          <w:rFonts w:asciiTheme="majorBidi" w:hAnsiTheme="majorBidi" w:cs="Times New Roman"/>
          <w:sz w:val="22"/>
          <w:szCs w:val="22"/>
        </w:rPr>
        <w:t>aqov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, Israel. </w:t>
      </w:r>
      <w:proofErr w:type="spellStart"/>
      <w:r w:rsidRPr="000D6017">
        <w:rPr>
          <w:rFonts w:asciiTheme="majorBidi" w:hAnsiTheme="majorBidi" w:cs="Times New Roman"/>
          <w:i/>
          <w:iCs/>
          <w:sz w:val="22"/>
          <w:szCs w:val="22"/>
        </w:rPr>
        <w:t>PaleoAnthropology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 2007:</w:t>
      </w:r>
      <w:r w:rsidRPr="000D6017">
        <w:rPr>
          <w:rFonts w:asciiTheme="majorBidi" w:hAnsiTheme="majorBidi" w:cs="Times New Roman"/>
          <w:sz w:val="22"/>
          <w:szCs w:val="22"/>
          <w:lang w:eastAsia="en-US"/>
        </w:rPr>
        <w:t>1</w:t>
      </w:r>
      <w:r w:rsidRPr="000D6017">
        <w:rPr>
          <w:rFonts w:asciiTheme="majorBidi" w:hAnsiTheme="majorBidi" w:cs="Times New Roman"/>
          <w:sz w:val="22"/>
          <w:szCs w:val="22"/>
        </w:rPr>
        <w:t>–</w:t>
      </w:r>
      <w:r w:rsidRPr="000D6017">
        <w:rPr>
          <w:rFonts w:asciiTheme="majorBidi" w:hAnsiTheme="majorBidi" w:cs="Times New Roman"/>
          <w:sz w:val="22"/>
          <w:szCs w:val="22"/>
          <w:lang w:eastAsia="en-US"/>
        </w:rPr>
        <w:t xml:space="preserve">15. </w:t>
      </w:r>
      <w:hyperlink r:id="rId8" w:history="1">
        <w:r w:rsidRPr="000D6017">
          <w:rPr>
            <w:rStyle w:val="Hyperlink"/>
            <w:rFonts w:asciiTheme="majorBidi" w:hAnsiTheme="majorBidi"/>
            <w:color w:val="auto"/>
            <w:sz w:val="22"/>
            <w:szCs w:val="22"/>
            <w:u w:val="none"/>
            <w:lang w:eastAsia="en-US"/>
          </w:rPr>
          <w:t>http://www.paleoanthro.org/journal/content/PA20070001.pdf</w:t>
        </w:r>
      </w:hyperlink>
    </w:p>
    <w:p w14:paraId="531F0298" w14:textId="77777777" w:rsidR="008520E4" w:rsidRPr="000D6017" w:rsidRDefault="008520E4" w:rsidP="006C0B4E">
      <w:pPr>
        <w:pStyle w:val="ListParagraph"/>
        <w:bidi w:val="0"/>
        <w:rPr>
          <w:rFonts w:asciiTheme="majorBidi" w:hAnsiTheme="majorBidi" w:cs="Times New Roman"/>
          <w:sz w:val="22"/>
          <w:szCs w:val="22"/>
        </w:rPr>
      </w:pPr>
    </w:p>
    <w:p w14:paraId="67B365FF" w14:textId="77777777" w:rsidR="008520E4" w:rsidRPr="000D6017" w:rsidRDefault="008520E4" w:rsidP="006C0B4E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Fonts w:asciiTheme="majorBidi" w:hAnsiTheme="majorBidi" w:cs="Times New Roman"/>
          <w:sz w:val="22"/>
          <w:szCs w:val="22"/>
        </w:rPr>
      </w:pPr>
      <w:r w:rsidRPr="000D6017">
        <w:rPr>
          <w:rFonts w:asciiTheme="majorBidi" w:hAnsiTheme="majorBidi" w:cs="Times New Roman"/>
          <w:sz w:val="22"/>
          <w:szCs w:val="22"/>
        </w:rPr>
        <w:t xml:space="preserve">Alperson-Afil, N. 2008. Continual fire-making by Hominins at </w:t>
      </w:r>
      <w:proofErr w:type="spellStart"/>
      <w:r w:rsidRPr="000D6017">
        <w:rPr>
          <w:rFonts w:asciiTheme="majorBidi" w:hAnsiTheme="majorBidi" w:cs="Times New Roman"/>
          <w:sz w:val="22"/>
          <w:szCs w:val="22"/>
        </w:rPr>
        <w:t>Gesher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0D6017">
        <w:rPr>
          <w:rFonts w:asciiTheme="majorBidi" w:hAnsiTheme="majorBidi" w:cs="Times New Roman"/>
          <w:sz w:val="22"/>
          <w:szCs w:val="22"/>
        </w:rPr>
        <w:t>Benot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proofErr w:type="gramStart"/>
      <w:r w:rsidRPr="000D6017">
        <w:rPr>
          <w:rFonts w:asciiTheme="majorBidi" w:hAnsiTheme="majorBidi" w:cs="Times New Roman"/>
          <w:sz w:val="22"/>
          <w:szCs w:val="22"/>
        </w:rPr>
        <w:t>Ya‘</w:t>
      </w:r>
      <w:proofErr w:type="gramEnd"/>
      <w:r w:rsidRPr="000D6017">
        <w:rPr>
          <w:rFonts w:asciiTheme="majorBidi" w:hAnsiTheme="majorBidi" w:cs="Times New Roman"/>
          <w:sz w:val="22"/>
          <w:szCs w:val="22"/>
        </w:rPr>
        <w:t>aqov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, Israel. </w:t>
      </w:r>
      <w:r w:rsidRPr="000D6017">
        <w:rPr>
          <w:rFonts w:asciiTheme="majorBidi" w:hAnsiTheme="majorBidi" w:cs="Times New Roman"/>
          <w:i/>
          <w:iCs/>
          <w:sz w:val="22"/>
          <w:szCs w:val="22"/>
        </w:rPr>
        <w:t>Quaternary Science Reviews</w:t>
      </w:r>
      <w:r w:rsidRPr="000D6017">
        <w:rPr>
          <w:rFonts w:asciiTheme="majorBidi" w:hAnsiTheme="majorBidi" w:cs="Times New Roman"/>
          <w:sz w:val="22"/>
          <w:szCs w:val="22"/>
        </w:rPr>
        <w:t xml:space="preserve"> 27</w:t>
      </w:r>
      <w:r w:rsidR="00BB0F63">
        <w:rPr>
          <w:rFonts w:asciiTheme="majorBidi" w:hAnsiTheme="majorBidi" w:cs="Times New Roman"/>
          <w:sz w:val="22"/>
          <w:szCs w:val="22"/>
        </w:rPr>
        <w:t>:1733–1739.</w:t>
      </w:r>
    </w:p>
    <w:p w14:paraId="685CCD3D" w14:textId="77777777" w:rsidR="008520E4" w:rsidRPr="000D6017" w:rsidRDefault="008520E4" w:rsidP="006C0B4E">
      <w:pPr>
        <w:pStyle w:val="ListParagraph"/>
        <w:bidi w:val="0"/>
        <w:rPr>
          <w:rFonts w:asciiTheme="majorBidi" w:hAnsiTheme="majorBidi" w:cs="Times New Roman"/>
          <w:sz w:val="22"/>
          <w:szCs w:val="22"/>
        </w:rPr>
      </w:pPr>
    </w:p>
    <w:p w14:paraId="4B3A82B0" w14:textId="77777777" w:rsidR="008520E4" w:rsidRPr="000D6017" w:rsidRDefault="008520E4" w:rsidP="006C0B4E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Style w:val="Strong"/>
          <w:rFonts w:asciiTheme="majorBidi" w:hAnsiTheme="majorBidi"/>
          <w:b w:val="0"/>
          <w:sz w:val="22"/>
          <w:szCs w:val="22"/>
        </w:rPr>
      </w:pPr>
      <w:r w:rsidRPr="000D6017">
        <w:rPr>
          <w:rFonts w:asciiTheme="majorBidi" w:hAnsiTheme="majorBidi" w:cs="Times New Roman"/>
          <w:sz w:val="22"/>
          <w:szCs w:val="22"/>
        </w:rPr>
        <w:t xml:space="preserve">Goren-Inbar, N., G. Sharon, N. Alperson-Afil, and I. </w:t>
      </w:r>
      <w:proofErr w:type="spellStart"/>
      <w:r w:rsidRPr="000D6017">
        <w:rPr>
          <w:rFonts w:asciiTheme="majorBidi" w:hAnsiTheme="majorBidi" w:cs="Times New Roman"/>
          <w:sz w:val="22"/>
          <w:szCs w:val="22"/>
        </w:rPr>
        <w:t>Laschiver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. 2008. The Acheulian Massive Scrapers of </w:t>
      </w:r>
      <w:proofErr w:type="spellStart"/>
      <w:r w:rsidRPr="000D6017">
        <w:rPr>
          <w:rFonts w:asciiTheme="majorBidi" w:hAnsiTheme="majorBidi" w:cs="Times New Roman"/>
          <w:sz w:val="22"/>
          <w:szCs w:val="22"/>
        </w:rPr>
        <w:t>Gesher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0D6017">
        <w:rPr>
          <w:rFonts w:asciiTheme="majorBidi" w:hAnsiTheme="majorBidi" w:cs="Times New Roman"/>
          <w:sz w:val="22"/>
          <w:szCs w:val="22"/>
        </w:rPr>
        <w:t>Benot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proofErr w:type="gramStart"/>
      <w:r w:rsidRPr="000D6017">
        <w:rPr>
          <w:rFonts w:asciiTheme="majorBidi" w:hAnsiTheme="majorBidi" w:cs="Times New Roman"/>
          <w:sz w:val="22"/>
          <w:szCs w:val="22"/>
        </w:rPr>
        <w:t>Ya‘</w:t>
      </w:r>
      <w:proofErr w:type="gramEnd"/>
      <w:r w:rsidRPr="000D6017">
        <w:rPr>
          <w:rFonts w:asciiTheme="majorBidi" w:hAnsiTheme="majorBidi" w:cs="Times New Roman"/>
          <w:sz w:val="22"/>
          <w:szCs w:val="22"/>
        </w:rPr>
        <w:t>aqov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 - an associated product of the large cutting tools </w:t>
      </w:r>
      <w:proofErr w:type="spellStart"/>
      <w:r w:rsidRPr="000D6017">
        <w:rPr>
          <w:rFonts w:asciiTheme="majorBidi" w:hAnsiTheme="majorBidi" w:cs="Times New Roman"/>
          <w:sz w:val="22"/>
          <w:szCs w:val="22"/>
        </w:rPr>
        <w:t>chaîne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0D6017">
        <w:rPr>
          <w:rFonts w:asciiTheme="majorBidi" w:hAnsiTheme="majorBidi" w:cs="Times New Roman"/>
          <w:sz w:val="22"/>
          <w:szCs w:val="22"/>
        </w:rPr>
        <w:t>opératoire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. </w:t>
      </w:r>
      <w:r w:rsidRPr="000D6017">
        <w:rPr>
          <w:rFonts w:asciiTheme="majorBidi" w:hAnsiTheme="majorBidi" w:cs="Times New Roman"/>
          <w:i/>
          <w:iCs/>
          <w:sz w:val="22"/>
          <w:szCs w:val="22"/>
        </w:rPr>
        <w:t>Journal of Human Evolution</w:t>
      </w:r>
      <w:r w:rsidRPr="000D6017">
        <w:rPr>
          <w:rFonts w:asciiTheme="majorBidi" w:hAnsiTheme="majorBidi" w:cs="Times New Roman"/>
          <w:sz w:val="22"/>
          <w:szCs w:val="22"/>
        </w:rPr>
        <w:t xml:space="preserve"> 55:702–712.</w:t>
      </w:r>
    </w:p>
    <w:p w14:paraId="1EB47880" w14:textId="77777777" w:rsidR="008520E4" w:rsidRPr="000D6017" w:rsidRDefault="008520E4" w:rsidP="006C0B4E">
      <w:pPr>
        <w:pStyle w:val="ListParagraph"/>
        <w:bidi w:val="0"/>
        <w:spacing w:line="276" w:lineRule="auto"/>
        <w:rPr>
          <w:rStyle w:val="Strong"/>
          <w:rFonts w:asciiTheme="majorBidi" w:hAnsiTheme="majorBidi"/>
          <w:b w:val="0"/>
          <w:sz w:val="22"/>
          <w:szCs w:val="22"/>
        </w:rPr>
      </w:pPr>
    </w:p>
    <w:p w14:paraId="0C7F82D2" w14:textId="77777777" w:rsidR="008520E4" w:rsidRPr="00E764CE" w:rsidRDefault="008520E4" w:rsidP="006C0B4E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</w:pPr>
      <w:r w:rsidRPr="000D6017">
        <w:rPr>
          <w:rStyle w:val="Strong"/>
          <w:rFonts w:asciiTheme="majorBidi" w:hAnsiTheme="majorBidi"/>
          <w:b w:val="0"/>
          <w:sz w:val="22"/>
          <w:szCs w:val="22"/>
        </w:rPr>
        <w:t xml:space="preserve">Alperson-Afil, N., Sharon, G., Kislev, M., Melamed, Y., Zohar, I., Ashkenazi, S., </w:t>
      </w:r>
      <w:proofErr w:type="spellStart"/>
      <w:r w:rsidRPr="000D6017">
        <w:rPr>
          <w:rStyle w:val="Strong"/>
          <w:rFonts w:asciiTheme="majorBidi" w:hAnsiTheme="majorBidi"/>
          <w:b w:val="0"/>
          <w:sz w:val="22"/>
          <w:szCs w:val="22"/>
        </w:rPr>
        <w:t>Rabinovich</w:t>
      </w:r>
      <w:proofErr w:type="spellEnd"/>
      <w:r w:rsidRPr="000D6017">
        <w:rPr>
          <w:rStyle w:val="Strong"/>
          <w:rFonts w:asciiTheme="majorBidi" w:hAnsiTheme="majorBidi"/>
          <w:b w:val="0"/>
          <w:sz w:val="22"/>
          <w:szCs w:val="22"/>
        </w:rPr>
        <w:t xml:space="preserve">, R., </w:t>
      </w:r>
      <w:proofErr w:type="spellStart"/>
      <w:r w:rsidRPr="000D6017">
        <w:rPr>
          <w:rStyle w:val="Strong"/>
          <w:rFonts w:asciiTheme="majorBidi" w:hAnsiTheme="majorBidi"/>
          <w:b w:val="0"/>
          <w:sz w:val="22"/>
          <w:szCs w:val="22"/>
        </w:rPr>
        <w:t>Biton</w:t>
      </w:r>
      <w:proofErr w:type="spellEnd"/>
      <w:r w:rsidRPr="000D6017">
        <w:rPr>
          <w:rStyle w:val="Strong"/>
          <w:rFonts w:asciiTheme="majorBidi" w:hAnsiTheme="majorBidi"/>
          <w:b w:val="0"/>
          <w:sz w:val="22"/>
          <w:szCs w:val="22"/>
        </w:rPr>
        <w:t xml:space="preserve">, R., </w:t>
      </w:r>
      <w:proofErr w:type="spellStart"/>
      <w:r w:rsidRPr="000D6017">
        <w:rPr>
          <w:rStyle w:val="Strong"/>
          <w:rFonts w:asciiTheme="majorBidi" w:hAnsiTheme="majorBidi"/>
          <w:b w:val="0"/>
          <w:sz w:val="22"/>
          <w:szCs w:val="22"/>
        </w:rPr>
        <w:t>Werker</w:t>
      </w:r>
      <w:proofErr w:type="spellEnd"/>
      <w:r w:rsidRPr="000D6017">
        <w:rPr>
          <w:rStyle w:val="Strong"/>
          <w:rFonts w:asciiTheme="majorBidi" w:hAnsiTheme="majorBidi"/>
          <w:b w:val="0"/>
          <w:sz w:val="22"/>
          <w:szCs w:val="22"/>
        </w:rPr>
        <w:t xml:space="preserve">, E., Hartman, G., </w:t>
      </w:r>
      <w:proofErr w:type="spellStart"/>
      <w:r w:rsidRPr="000D6017">
        <w:rPr>
          <w:rStyle w:val="Strong"/>
          <w:rFonts w:asciiTheme="majorBidi" w:hAnsiTheme="majorBidi"/>
          <w:b w:val="0"/>
          <w:sz w:val="22"/>
          <w:szCs w:val="22"/>
        </w:rPr>
        <w:t>Feibel</w:t>
      </w:r>
      <w:proofErr w:type="spellEnd"/>
      <w:r w:rsidRPr="000D6017">
        <w:rPr>
          <w:rStyle w:val="Strong"/>
          <w:rFonts w:asciiTheme="majorBidi" w:hAnsiTheme="majorBidi"/>
          <w:b w:val="0"/>
          <w:sz w:val="22"/>
          <w:szCs w:val="22"/>
        </w:rPr>
        <w:t xml:space="preserve">, C., and Goren-Inbar, N. 2009. </w:t>
      </w:r>
      <w:r w:rsidRPr="000D6017">
        <w:rPr>
          <w:rFonts w:asciiTheme="majorBidi" w:hAnsiTheme="majorBidi" w:cs="Times New Roman"/>
          <w:sz w:val="22"/>
          <w:szCs w:val="22"/>
        </w:rPr>
        <w:t xml:space="preserve">Spatial Organization of Hominin Activities at </w:t>
      </w:r>
      <w:proofErr w:type="spellStart"/>
      <w:r w:rsidRPr="000D6017">
        <w:rPr>
          <w:rFonts w:asciiTheme="majorBidi" w:hAnsiTheme="majorBidi" w:cs="Times New Roman"/>
          <w:sz w:val="22"/>
          <w:szCs w:val="22"/>
        </w:rPr>
        <w:t>Gesher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0D6017">
        <w:rPr>
          <w:rFonts w:asciiTheme="majorBidi" w:hAnsiTheme="majorBidi" w:cs="Times New Roman"/>
          <w:sz w:val="22"/>
          <w:szCs w:val="22"/>
        </w:rPr>
        <w:t>Benot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proofErr w:type="gramStart"/>
      <w:r w:rsidRPr="000D6017">
        <w:rPr>
          <w:rFonts w:asciiTheme="majorBidi" w:hAnsiTheme="majorBidi" w:cs="Times New Roman"/>
          <w:sz w:val="22"/>
          <w:szCs w:val="22"/>
        </w:rPr>
        <w:t>Ya‘</w:t>
      </w:r>
      <w:proofErr w:type="gramEnd"/>
      <w:r w:rsidRPr="000D6017">
        <w:rPr>
          <w:rFonts w:asciiTheme="majorBidi" w:hAnsiTheme="majorBidi" w:cs="Times New Roman"/>
          <w:sz w:val="22"/>
          <w:szCs w:val="22"/>
        </w:rPr>
        <w:t>aqov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, Israel. </w:t>
      </w:r>
      <w:r w:rsidRPr="000D6017">
        <w:rPr>
          <w:rFonts w:asciiTheme="majorBidi" w:hAnsiTheme="majorBidi" w:cs="Times New Roman"/>
          <w:i/>
          <w:iCs/>
          <w:sz w:val="22"/>
          <w:szCs w:val="22"/>
        </w:rPr>
        <w:t>Science</w:t>
      </w:r>
      <w:r w:rsidRPr="000D6017">
        <w:rPr>
          <w:rFonts w:asciiTheme="majorBidi" w:hAnsiTheme="majorBidi" w:cs="Times New Roman"/>
          <w:sz w:val="22"/>
          <w:szCs w:val="22"/>
        </w:rPr>
        <w:t xml:space="preserve"> 326:1677–1680. </w:t>
      </w:r>
    </w:p>
    <w:p w14:paraId="12CA6E3C" w14:textId="77777777" w:rsidR="00E764CE" w:rsidRDefault="00E764CE" w:rsidP="006C0B4E">
      <w:pPr>
        <w:pStyle w:val="ListParagraph"/>
        <w:bidi w:val="0"/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</w:pPr>
    </w:p>
    <w:p w14:paraId="58DDBF7D" w14:textId="77777777" w:rsidR="008520E4" w:rsidRPr="000D6017" w:rsidRDefault="008520E4" w:rsidP="006C0B4E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Fonts w:asciiTheme="majorBidi" w:hAnsiTheme="majorBidi" w:cs="Times New Roman"/>
          <w:sz w:val="22"/>
          <w:szCs w:val="22"/>
        </w:rPr>
      </w:pPr>
      <w:r w:rsidRPr="000D6017">
        <w:rPr>
          <w:rFonts w:asciiTheme="majorBidi" w:hAnsiTheme="majorBidi" w:cs="Times New Roman"/>
          <w:sz w:val="22"/>
          <w:szCs w:val="22"/>
        </w:rPr>
        <w:t xml:space="preserve">Sharon, G., </w:t>
      </w:r>
      <w:proofErr w:type="spellStart"/>
      <w:r w:rsidRPr="000D6017">
        <w:rPr>
          <w:rFonts w:asciiTheme="majorBidi" w:hAnsiTheme="majorBidi" w:cs="Times New Roman"/>
          <w:sz w:val="22"/>
          <w:szCs w:val="22"/>
        </w:rPr>
        <w:t>Feibel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, C., Alperson-Afil, N., </w:t>
      </w:r>
      <w:proofErr w:type="spellStart"/>
      <w:r w:rsidRPr="000D6017">
        <w:rPr>
          <w:rFonts w:asciiTheme="majorBidi" w:hAnsiTheme="majorBidi" w:cs="Times New Roman"/>
          <w:sz w:val="22"/>
          <w:szCs w:val="22"/>
        </w:rPr>
        <w:t>Harlavan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, Y., </w:t>
      </w:r>
      <w:proofErr w:type="spellStart"/>
      <w:r w:rsidRPr="000D6017">
        <w:rPr>
          <w:rFonts w:asciiTheme="majorBidi" w:hAnsiTheme="majorBidi" w:cs="Times New Roman"/>
          <w:sz w:val="22"/>
          <w:szCs w:val="22"/>
        </w:rPr>
        <w:t>Feraud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, G., Ashkenazi, S., and </w:t>
      </w:r>
      <w:proofErr w:type="spellStart"/>
      <w:r w:rsidRPr="000D6017">
        <w:rPr>
          <w:rFonts w:asciiTheme="majorBidi" w:hAnsiTheme="majorBidi" w:cs="Times New Roman"/>
          <w:sz w:val="22"/>
          <w:szCs w:val="22"/>
        </w:rPr>
        <w:lastRenderedPageBreak/>
        <w:t>Rabinovich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, R. 2010. New Evidence for the Northern Dead Sea Rift Acheulian. </w:t>
      </w:r>
      <w:proofErr w:type="spellStart"/>
      <w:r w:rsidRPr="000D6017">
        <w:rPr>
          <w:rFonts w:asciiTheme="majorBidi" w:hAnsiTheme="majorBidi" w:cs="Times New Roman"/>
          <w:i/>
          <w:iCs/>
          <w:sz w:val="22"/>
          <w:szCs w:val="22"/>
        </w:rPr>
        <w:t>PaleoAnthropology</w:t>
      </w:r>
      <w:proofErr w:type="spellEnd"/>
      <w:r w:rsidRPr="000D6017">
        <w:rPr>
          <w:rFonts w:asciiTheme="majorBidi" w:hAnsiTheme="majorBidi" w:cs="Times New Roman"/>
          <w:sz w:val="22"/>
          <w:szCs w:val="22"/>
        </w:rPr>
        <w:t xml:space="preserve"> 2010:79–99. </w:t>
      </w:r>
      <w:hyperlink r:id="rId9" w:history="1">
        <w:r w:rsidRPr="000D6017">
          <w:rPr>
            <w:rStyle w:val="Hyperlink"/>
            <w:rFonts w:asciiTheme="majorBidi" w:hAnsiTheme="majorBidi"/>
            <w:color w:val="auto"/>
            <w:sz w:val="22"/>
            <w:szCs w:val="22"/>
            <w:u w:val="none"/>
            <w:lang w:eastAsia="en-US" w:bidi="ar-SA"/>
          </w:rPr>
          <w:t>http://www.paleoanthro.org/journal/content/PA20100079.pdf</w:t>
        </w:r>
      </w:hyperlink>
      <w:r w:rsidRPr="000D6017">
        <w:rPr>
          <w:rFonts w:asciiTheme="majorBidi" w:hAnsiTheme="majorBidi" w:cs="Times New Roman"/>
          <w:sz w:val="22"/>
          <w:szCs w:val="22"/>
        </w:rPr>
        <w:t xml:space="preserve"> </w:t>
      </w:r>
    </w:p>
    <w:p w14:paraId="4E08103A" w14:textId="77777777" w:rsidR="008520E4" w:rsidRPr="000D6017" w:rsidRDefault="008520E4" w:rsidP="006C0B4E">
      <w:pPr>
        <w:pStyle w:val="ListParagraph"/>
        <w:bidi w:val="0"/>
        <w:spacing w:line="276" w:lineRule="auto"/>
        <w:rPr>
          <w:rFonts w:asciiTheme="majorBidi" w:hAnsiTheme="majorBidi" w:cs="Times New Roman"/>
          <w:sz w:val="22"/>
          <w:szCs w:val="22"/>
        </w:rPr>
      </w:pPr>
    </w:p>
    <w:p w14:paraId="2663578A" w14:textId="77777777" w:rsidR="008520E4" w:rsidRPr="000D6017" w:rsidRDefault="008520E4" w:rsidP="006C0B4E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284" w:hanging="425"/>
        <w:rPr>
          <w:rFonts w:asciiTheme="majorBidi" w:hAnsiTheme="majorBidi" w:cs="Times New Roman"/>
          <w:sz w:val="22"/>
          <w:szCs w:val="22"/>
          <w:lang w:val="en-GB"/>
        </w:rPr>
      </w:pPr>
      <w:r w:rsidRPr="000D6017">
        <w:rPr>
          <w:rFonts w:asciiTheme="majorBidi" w:hAnsiTheme="majorBidi" w:cs="Times New Roman"/>
          <w:sz w:val="22"/>
          <w:szCs w:val="22"/>
        </w:rPr>
        <w:t xml:space="preserve">Sharon, G., Alperson-Afil, N., and Goren-Inbar, N. 2011. </w:t>
      </w:r>
      <w:r w:rsidRPr="000D6017"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  <w:t xml:space="preserve">Cultural conservatism and variability in the Acheulian sequence of </w:t>
      </w:r>
      <w:proofErr w:type="spellStart"/>
      <w:r w:rsidRPr="000D6017"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  <w:t>Gesher</w:t>
      </w:r>
      <w:proofErr w:type="spellEnd"/>
      <w:r w:rsidRPr="000D6017"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  <w:t xml:space="preserve"> </w:t>
      </w:r>
      <w:proofErr w:type="spellStart"/>
      <w:r w:rsidRPr="000D6017"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  <w:t>Benot</w:t>
      </w:r>
      <w:proofErr w:type="spellEnd"/>
      <w:r w:rsidRPr="000D6017"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  <w:t xml:space="preserve"> </w:t>
      </w:r>
      <w:proofErr w:type="spellStart"/>
      <w:proofErr w:type="gramStart"/>
      <w:r w:rsidRPr="000D6017"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  <w:t>Ya‘</w:t>
      </w:r>
      <w:proofErr w:type="gramEnd"/>
      <w:r w:rsidRPr="000D6017"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  <w:t>aqov</w:t>
      </w:r>
      <w:proofErr w:type="spellEnd"/>
      <w:r w:rsidRPr="000D6017">
        <w:rPr>
          <w:rFonts w:asciiTheme="majorBidi" w:hAnsiTheme="majorBidi" w:cs="Times New Roman"/>
          <w:color w:val="000000"/>
          <w:sz w:val="22"/>
          <w:szCs w:val="22"/>
          <w:lang w:eastAsia="en-US" w:bidi="ar-SA"/>
        </w:rPr>
        <w:t xml:space="preserve">. </w:t>
      </w:r>
      <w:r w:rsidRPr="000D6017">
        <w:rPr>
          <w:rFonts w:asciiTheme="majorBidi" w:hAnsiTheme="majorBidi" w:cs="Times New Roman"/>
          <w:i/>
          <w:iCs/>
          <w:sz w:val="22"/>
          <w:szCs w:val="22"/>
        </w:rPr>
        <w:t>Journal of Human Evolution</w:t>
      </w:r>
      <w:r w:rsidRPr="000D6017">
        <w:rPr>
          <w:rFonts w:asciiTheme="majorBidi" w:hAnsiTheme="majorBidi" w:cs="Times New Roman"/>
          <w:sz w:val="22"/>
          <w:szCs w:val="22"/>
        </w:rPr>
        <w:t xml:space="preserve"> 60:387–397.</w:t>
      </w:r>
    </w:p>
    <w:p w14:paraId="4C221423" w14:textId="77777777" w:rsidR="008520E4" w:rsidRPr="000D6017" w:rsidRDefault="008520E4" w:rsidP="006C0B4E">
      <w:pPr>
        <w:pStyle w:val="ListParagraph"/>
        <w:bidi w:val="0"/>
        <w:spacing w:line="276" w:lineRule="auto"/>
        <w:rPr>
          <w:rFonts w:asciiTheme="majorBidi" w:hAnsiTheme="majorBidi" w:cs="Times New Roman"/>
          <w:sz w:val="22"/>
          <w:szCs w:val="22"/>
        </w:rPr>
      </w:pPr>
    </w:p>
    <w:p w14:paraId="526B55BC" w14:textId="77777777" w:rsidR="008520E4" w:rsidRPr="000D6017" w:rsidRDefault="008520E4" w:rsidP="006C0B4E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-360" w:hanging="425"/>
        <w:outlineLvl w:val="0"/>
        <w:rPr>
          <w:rFonts w:asciiTheme="majorBidi" w:hAnsiTheme="majorBidi" w:cs="Times New Roman"/>
          <w:sz w:val="22"/>
          <w:szCs w:val="22"/>
        </w:rPr>
      </w:pPr>
      <w:r w:rsidRPr="000D6017">
        <w:rPr>
          <w:rFonts w:asciiTheme="majorBidi" w:hAnsiTheme="majorBidi" w:cs="Times New Roman"/>
          <w:sz w:val="22"/>
          <w:szCs w:val="22"/>
          <w:lang w:val="de-DE"/>
        </w:rPr>
        <w:t>Richter, D., Alperson-Afil, N., and Goren-</w:t>
      </w:r>
      <w:proofErr w:type="spellStart"/>
      <w:r w:rsidRPr="000D6017">
        <w:rPr>
          <w:rFonts w:asciiTheme="majorBidi" w:hAnsiTheme="majorBidi" w:cs="Times New Roman"/>
          <w:sz w:val="22"/>
          <w:szCs w:val="22"/>
          <w:lang w:val="de-DE"/>
        </w:rPr>
        <w:t>Inbar</w:t>
      </w:r>
      <w:proofErr w:type="spellEnd"/>
      <w:r w:rsidRPr="000D6017">
        <w:rPr>
          <w:rFonts w:asciiTheme="majorBidi" w:hAnsiTheme="majorBidi" w:cs="Times New Roman"/>
          <w:sz w:val="22"/>
          <w:szCs w:val="22"/>
          <w:lang w:val="de-DE"/>
        </w:rPr>
        <w:t xml:space="preserve">, N. 2011. </w:t>
      </w:r>
      <w:r w:rsidRPr="000D6017">
        <w:rPr>
          <w:rFonts w:asciiTheme="majorBidi" w:hAnsiTheme="majorBidi" w:cs="Times New Roman"/>
          <w:sz w:val="22"/>
          <w:szCs w:val="22"/>
          <w:lang w:val="en-GB"/>
        </w:rPr>
        <w:t xml:space="preserve">Employing TL methods as verification tool for the macroscopic determination of heat alteration of lithic artefacts from Palaeolithic contexts. </w:t>
      </w:r>
      <w:r w:rsidRPr="000D6017">
        <w:rPr>
          <w:rFonts w:asciiTheme="majorBidi" w:hAnsiTheme="majorBidi" w:cs="Times New Roman"/>
          <w:i/>
          <w:iCs/>
          <w:sz w:val="22"/>
          <w:szCs w:val="22"/>
          <w:lang w:val="en-GB"/>
        </w:rPr>
        <w:t>Archaeometry</w:t>
      </w:r>
      <w:r w:rsidRPr="000D6017">
        <w:rPr>
          <w:rFonts w:asciiTheme="majorBidi" w:hAnsiTheme="majorBidi" w:cs="Times New Roman"/>
          <w:sz w:val="22"/>
          <w:szCs w:val="22"/>
          <w:lang w:val="en-GB"/>
        </w:rPr>
        <w:t xml:space="preserve"> 53:842</w:t>
      </w:r>
      <w:r w:rsidRPr="000D6017">
        <w:rPr>
          <w:rFonts w:asciiTheme="majorBidi" w:hAnsiTheme="majorBidi" w:cs="Times New Roman"/>
          <w:sz w:val="22"/>
          <w:szCs w:val="22"/>
        </w:rPr>
        <w:t>–</w:t>
      </w:r>
      <w:r w:rsidRPr="000D6017">
        <w:rPr>
          <w:rFonts w:asciiTheme="majorBidi" w:hAnsiTheme="majorBidi" w:cs="Times New Roman"/>
          <w:sz w:val="22"/>
          <w:szCs w:val="22"/>
          <w:lang w:val="en-GB"/>
        </w:rPr>
        <w:t>857</w:t>
      </w:r>
      <w:r w:rsidR="00BB0F63">
        <w:rPr>
          <w:rFonts w:asciiTheme="majorBidi" w:hAnsiTheme="majorBidi" w:cs="Times New Roman"/>
          <w:sz w:val="22"/>
          <w:szCs w:val="22"/>
        </w:rPr>
        <w:t>.</w:t>
      </w:r>
    </w:p>
    <w:p w14:paraId="7AC4F106" w14:textId="77777777" w:rsidR="008520E4" w:rsidRPr="000D6017" w:rsidRDefault="008520E4" w:rsidP="006C0B4E">
      <w:pPr>
        <w:pStyle w:val="ListParagraph"/>
        <w:bidi w:val="0"/>
        <w:spacing w:line="276" w:lineRule="auto"/>
        <w:rPr>
          <w:rFonts w:asciiTheme="majorBidi" w:hAnsiTheme="majorBidi" w:cs="Times New Roman"/>
          <w:sz w:val="22"/>
          <w:szCs w:val="22"/>
        </w:rPr>
      </w:pPr>
    </w:p>
    <w:p w14:paraId="705F6A50" w14:textId="77777777" w:rsidR="005F6724" w:rsidRPr="005F6724" w:rsidRDefault="008520E4" w:rsidP="005F6724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-360" w:hanging="425"/>
        <w:outlineLvl w:val="0"/>
        <w:rPr>
          <w:rFonts w:asciiTheme="majorBidi" w:hAnsiTheme="majorBidi" w:cs="Times New Roman"/>
          <w:sz w:val="22"/>
          <w:szCs w:val="22"/>
        </w:rPr>
      </w:pPr>
      <w:r w:rsidRPr="000D6017">
        <w:rPr>
          <w:rFonts w:asciiTheme="majorBidi" w:hAnsiTheme="majorBidi" w:cs="Times New Roman"/>
          <w:sz w:val="22"/>
          <w:szCs w:val="22"/>
        </w:rPr>
        <w:t xml:space="preserve">Alperson-Afil, N. 2012. Archaeology of fire: </w:t>
      </w:r>
      <w:r w:rsidRPr="000D6017">
        <w:rPr>
          <w:rFonts w:asciiTheme="majorBidi" w:hAnsiTheme="majorBidi" w:cs="Times New Roman"/>
          <w:sz w:val="22"/>
          <w:szCs w:val="22"/>
          <w:lang w:eastAsia="en-US" w:bidi="ar-SA"/>
        </w:rPr>
        <w:t xml:space="preserve">Methodological aspects of </w:t>
      </w:r>
      <w:r w:rsidRPr="000D6017">
        <w:rPr>
          <w:rFonts w:asciiTheme="majorBidi" w:hAnsiTheme="majorBidi" w:cs="Times New Roman"/>
          <w:sz w:val="22"/>
          <w:szCs w:val="22"/>
        </w:rPr>
        <w:t xml:space="preserve">reconstructing fire </w:t>
      </w:r>
      <w:r w:rsidRPr="005F6724">
        <w:rPr>
          <w:rFonts w:asciiTheme="majorBidi" w:hAnsiTheme="majorBidi" w:cs="Times New Roman"/>
          <w:sz w:val="22"/>
          <w:szCs w:val="22"/>
        </w:rPr>
        <w:t xml:space="preserve">history of prehistoric archaeological sites. </w:t>
      </w:r>
      <w:r w:rsidRPr="005F6724">
        <w:rPr>
          <w:rFonts w:asciiTheme="majorBidi" w:hAnsiTheme="majorBidi" w:cs="Times New Roman"/>
          <w:i/>
          <w:iCs/>
          <w:sz w:val="22"/>
          <w:szCs w:val="22"/>
        </w:rPr>
        <w:t>Earth Science Reviews</w:t>
      </w:r>
      <w:r w:rsidRPr="005F6724">
        <w:rPr>
          <w:rFonts w:asciiTheme="majorBidi" w:hAnsiTheme="majorBidi" w:cs="Times New Roman"/>
          <w:sz w:val="22"/>
          <w:szCs w:val="22"/>
          <w:lang w:val="en-GB"/>
        </w:rPr>
        <w:t xml:space="preserve"> 113:111</w:t>
      </w:r>
      <w:r w:rsidRPr="005F6724">
        <w:rPr>
          <w:rFonts w:asciiTheme="majorBidi" w:hAnsiTheme="majorBidi" w:cs="Times New Roman"/>
          <w:sz w:val="22"/>
          <w:szCs w:val="22"/>
        </w:rPr>
        <w:t>–</w:t>
      </w:r>
      <w:r w:rsidRPr="005F6724">
        <w:rPr>
          <w:rFonts w:asciiTheme="majorBidi" w:hAnsiTheme="majorBidi" w:cs="Times New Roman"/>
          <w:sz w:val="22"/>
          <w:szCs w:val="22"/>
          <w:lang w:val="en-GB"/>
        </w:rPr>
        <w:t>119.</w:t>
      </w:r>
    </w:p>
    <w:p w14:paraId="177E7813" w14:textId="77777777" w:rsidR="005F6724" w:rsidRPr="005F6724" w:rsidRDefault="005F6724" w:rsidP="005F6724">
      <w:pPr>
        <w:pStyle w:val="ListParagraph"/>
        <w:rPr>
          <w:rFonts w:asciiTheme="majorBidi" w:hAnsiTheme="majorBidi" w:cs="Times New Roman"/>
          <w:sz w:val="22"/>
          <w:szCs w:val="22"/>
        </w:rPr>
      </w:pPr>
    </w:p>
    <w:p w14:paraId="69D131DD" w14:textId="77777777" w:rsidR="005F6724" w:rsidRPr="005F6724" w:rsidRDefault="005F6724" w:rsidP="002D1C2F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-360" w:hanging="425"/>
        <w:outlineLvl w:val="0"/>
        <w:rPr>
          <w:rFonts w:asciiTheme="majorBidi" w:hAnsiTheme="majorBidi" w:cs="Times New Roman"/>
          <w:sz w:val="22"/>
          <w:szCs w:val="22"/>
        </w:rPr>
      </w:pPr>
      <w:r w:rsidRPr="005F6724">
        <w:rPr>
          <w:rFonts w:asciiTheme="majorBidi" w:hAnsiTheme="majorBidi" w:cs="Times New Roman"/>
          <w:sz w:val="22"/>
          <w:szCs w:val="22"/>
        </w:rPr>
        <w:t xml:space="preserve">Alperson-Afil, N. 2015. Forgotten knowledge: basalt </w:t>
      </w:r>
      <w:proofErr w:type="gramStart"/>
      <w:r w:rsidRPr="005F6724">
        <w:rPr>
          <w:rFonts w:asciiTheme="majorBidi" w:hAnsiTheme="majorBidi" w:cs="Times New Roman"/>
          <w:sz w:val="22"/>
          <w:szCs w:val="22"/>
        </w:rPr>
        <w:t>tool-making</w:t>
      </w:r>
      <w:proofErr w:type="gramEnd"/>
      <w:r w:rsidRPr="005F6724">
        <w:rPr>
          <w:rFonts w:asciiTheme="majorBidi" w:hAnsiTheme="majorBidi" w:cs="Times New Roman"/>
          <w:sz w:val="22"/>
          <w:szCs w:val="22"/>
        </w:rPr>
        <w:t xml:space="preserve"> in the Lower </w:t>
      </w:r>
      <w:proofErr w:type="spellStart"/>
      <w:r w:rsidRPr="005F6724">
        <w:rPr>
          <w:rFonts w:asciiTheme="majorBidi" w:hAnsiTheme="majorBidi" w:cs="Times New Roman"/>
          <w:sz w:val="22"/>
          <w:szCs w:val="22"/>
        </w:rPr>
        <w:t>Palaeolithic</w:t>
      </w:r>
      <w:proofErr w:type="spellEnd"/>
      <w:r w:rsidRPr="005F6724">
        <w:rPr>
          <w:rFonts w:asciiTheme="majorBidi" w:hAnsiTheme="majorBidi" w:cs="Times New Roman"/>
          <w:sz w:val="22"/>
          <w:szCs w:val="22"/>
        </w:rPr>
        <w:t xml:space="preserve"> levant. In: Shulman, D. and </w:t>
      </w:r>
      <w:proofErr w:type="spellStart"/>
      <w:r w:rsidRPr="005F6724">
        <w:rPr>
          <w:rFonts w:asciiTheme="majorBidi" w:hAnsiTheme="majorBidi" w:cs="Times New Roman"/>
          <w:sz w:val="22"/>
          <w:szCs w:val="22"/>
        </w:rPr>
        <w:t>Galizia</w:t>
      </w:r>
      <w:proofErr w:type="spellEnd"/>
      <w:r w:rsidRPr="005F6724">
        <w:rPr>
          <w:rFonts w:asciiTheme="majorBidi" w:hAnsiTheme="majorBidi" w:cs="Times New Roman"/>
          <w:sz w:val="22"/>
          <w:szCs w:val="22"/>
        </w:rPr>
        <w:t xml:space="preserve">. G (eds.): </w:t>
      </w:r>
      <w:r w:rsidRPr="005F6724">
        <w:rPr>
          <w:rFonts w:asciiTheme="majorBidi" w:hAnsiTheme="majorBidi" w:cs="Times New Roman"/>
          <w:i/>
          <w:iCs/>
          <w:sz w:val="22"/>
          <w:szCs w:val="22"/>
        </w:rPr>
        <w:t>What is Forgetting</w:t>
      </w:r>
      <w:r w:rsidRPr="005F6724">
        <w:rPr>
          <w:rFonts w:asciiTheme="majorBidi" w:hAnsiTheme="majorBidi" w:cs="Times New Roman"/>
          <w:sz w:val="22"/>
          <w:szCs w:val="22"/>
        </w:rPr>
        <w:t xml:space="preserve">. </w:t>
      </w:r>
      <w:proofErr w:type="spellStart"/>
      <w:r w:rsidRPr="005F6724">
        <w:rPr>
          <w:rFonts w:asciiTheme="majorBidi" w:hAnsiTheme="majorBidi" w:cs="Times New Roman"/>
          <w:sz w:val="22"/>
          <w:szCs w:val="22"/>
        </w:rPr>
        <w:t>Magnes</w:t>
      </w:r>
      <w:proofErr w:type="spellEnd"/>
      <w:r w:rsidRPr="005F6724">
        <w:rPr>
          <w:rFonts w:asciiTheme="majorBidi" w:hAnsiTheme="majorBidi" w:cs="Times New Roman"/>
          <w:sz w:val="22"/>
          <w:szCs w:val="22"/>
        </w:rPr>
        <w:t>, Jerusalem, pp: 107-125.</w:t>
      </w:r>
    </w:p>
    <w:p w14:paraId="1972D7A2" w14:textId="77777777" w:rsidR="005F6724" w:rsidRPr="005F6724" w:rsidRDefault="005F6724" w:rsidP="005F6724">
      <w:pPr>
        <w:pStyle w:val="ListParagraph"/>
        <w:rPr>
          <w:rFonts w:asciiTheme="majorBidi" w:hAnsiTheme="majorBidi" w:cs="Times New Roman"/>
          <w:sz w:val="22"/>
          <w:szCs w:val="22"/>
        </w:rPr>
      </w:pPr>
    </w:p>
    <w:p w14:paraId="65C72E5A" w14:textId="77777777" w:rsidR="005F6724" w:rsidRPr="005F6724" w:rsidRDefault="005F6724" w:rsidP="006B38E6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-360" w:hanging="425"/>
        <w:outlineLvl w:val="0"/>
        <w:rPr>
          <w:rFonts w:asciiTheme="majorBidi" w:hAnsiTheme="majorBidi" w:cs="Times New Roman"/>
          <w:sz w:val="22"/>
          <w:szCs w:val="22"/>
        </w:rPr>
      </w:pPr>
      <w:r w:rsidRPr="005F6724">
        <w:rPr>
          <w:rFonts w:asciiTheme="majorBidi" w:hAnsiTheme="majorBidi" w:cs="Times New Roman"/>
          <w:sz w:val="22"/>
          <w:szCs w:val="22"/>
        </w:rPr>
        <w:t xml:space="preserve">Goren-Inbar, N., </w:t>
      </w:r>
      <w:proofErr w:type="spellStart"/>
      <w:proofErr w:type="gramStart"/>
      <w:r w:rsidRPr="005F6724">
        <w:rPr>
          <w:rFonts w:asciiTheme="majorBidi" w:hAnsiTheme="majorBidi" w:cs="Times New Roman"/>
          <w:sz w:val="22"/>
          <w:szCs w:val="22"/>
        </w:rPr>
        <w:t>Sharon,G</w:t>
      </w:r>
      <w:proofErr w:type="spellEnd"/>
      <w:r w:rsidRPr="005F6724">
        <w:rPr>
          <w:rFonts w:asciiTheme="majorBidi" w:hAnsiTheme="majorBidi" w:cs="Times New Roman"/>
          <w:sz w:val="22"/>
          <w:szCs w:val="22"/>
        </w:rPr>
        <w:t>.</w:t>
      </w:r>
      <w:proofErr w:type="gramEnd"/>
      <w:r w:rsidRPr="005F6724">
        <w:rPr>
          <w:rFonts w:asciiTheme="majorBidi" w:hAnsiTheme="majorBidi" w:cs="Times New Roman"/>
          <w:sz w:val="22"/>
          <w:szCs w:val="22"/>
        </w:rPr>
        <w:t xml:space="preserve">, Alperson-Afil, N. and </w:t>
      </w:r>
      <w:proofErr w:type="spellStart"/>
      <w:r w:rsidRPr="005F6724">
        <w:rPr>
          <w:rFonts w:asciiTheme="majorBidi" w:hAnsiTheme="majorBidi" w:cs="Times New Roman"/>
          <w:sz w:val="22"/>
          <w:szCs w:val="22"/>
        </w:rPr>
        <w:t>Herzlinger</w:t>
      </w:r>
      <w:proofErr w:type="spellEnd"/>
      <w:r w:rsidRPr="005F6724">
        <w:rPr>
          <w:rFonts w:asciiTheme="majorBidi" w:hAnsiTheme="majorBidi" w:cs="Times New Roman"/>
          <w:sz w:val="22"/>
          <w:szCs w:val="22"/>
        </w:rPr>
        <w:t xml:space="preserve">, G. 2015. A new type of anvil in the Acheulian of </w:t>
      </w:r>
      <w:proofErr w:type="spellStart"/>
      <w:r w:rsidRPr="005F6724">
        <w:rPr>
          <w:rFonts w:asciiTheme="majorBidi" w:hAnsiTheme="majorBidi" w:cs="Times New Roman"/>
          <w:sz w:val="22"/>
          <w:szCs w:val="22"/>
        </w:rPr>
        <w:t>Gesher</w:t>
      </w:r>
      <w:proofErr w:type="spellEnd"/>
      <w:r w:rsidRPr="005F6724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5F6724">
        <w:rPr>
          <w:rFonts w:asciiTheme="majorBidi" w:hAnsiTheme="majorBidi" w:cs="Times New Roman"/>
          <w:sz w:val="22"/>
          <w:szCs w:val="22"/>
        </w:rPr>
        <w:t>Benot</w:t>
      </w:r>
      <w:proofErr w:type="spellEnd"/>
      <w:r w:rsidRPr="005F6724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proofErr w:type="gramStart"/>
      <w:r w:rsidRPr="005F6724">
        <w:rPr>
          <w:rFonts w:asciiTheme="majorBidi" w:hAnsiTheme="majorBidi" w:cs="Times New Roman"/>
          <w:sz w:val="22"/>
          <w:szCs w:val="22"/>
        </w:rPr>
        <w:t>Ya‘</w:t>
      </w:r>
      <w:proofErr w:type="gramEnd"/>
      <w:r w:rsidRPr="005F6724">
        <w:rPr>
          <w:rFonts w:asciiTheme="majorBidi" w:hAnsiTheme="majorBidi" w:cs="Times New Roman"/>
          <w:sz w:val="22"/>
          <w:szCs w:val="22"/>
        </w:rPr>
        <w:t>aqov</w:t>
      </w:r>
      <w:proofErr w:type="spellEnd"/>
      <w:r w:rsidRPr="005F6724">
        <w:rPr>
          <w:rFonts w:asciiTheme="majorBidi" w:hAnsiTheme="majorBidi" w:cs="Times New Roman"/>
          <w:sz w:val="22"/>
          <w:szCs w:val="22"/>
        </w:rPr>
        <w:t xml:space="preserve">, Israel. </w:t>
      </w:r>
      <w:r w:rsidRPr="005F6724">
        <w:rPr>
          <w:rFonts w:asciiTheme="majorBidi" w:hAnsiTheme="majorBidi" w:cs="Times New Roman"/>
          <w:i/>
          <w:iCs/>
          <w:sz w:val="22"/>
          <w:szCs w:val="22"/>
        </w:rPr>
        <w:t>Philosophical Transactions Royal Society B</w:t>
      </w:r>
      <w:r w:rsidRPr="005F6724">
        <w:rPr>
          <w:rFonts w:asciiTheme="majorBidi" w:hAnsiTheme="majorBidi" w:cs="Times New Roman"/>
          <w:sz w:val="22"/>
          <w:szCs w:val="22"/>
        </w:rPr>
        <w:t xml:space="preserve"> 370: 20140353.</w:t>
      </w:r>
    </w:p>
    <w:p w14:paraId="254A1DFF" w14:textId="77777777" w:rsidR="005F6724" w:rsidRPr="005F6724" w:rsidRDefault="005F6724" w:rsidP="005F6724">
      <w:pPr>
        <w:pStyle w:val="ListParagraph"/>
        <w:rPr>
          <w:rFonts w:asciiTheme="majorBidi" w:hAnsiTheme="majorBidi" w:cs="Times New Roman"/>
          <w:sz w:val="22"/>
          <w:szCs w:val="22"/>
        </w:rPr>
      </w:pPr>
    </w:p>
    <w:p w14:paraId="276D774F" w14:textId="77777777" w:rsidR="005F6724" w:rsidRPr="005F6724" w:rsidRDefault="005F6724" w:rsidP="00253727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-360" w:hanging="425"/>
        <w:outlineLvl w:val="0"/>
        <w:rPr>
          <w:rFonts w:asciiTheme="majorBidi" w:hAnsiTheme="majorBidi" w:cs="Times New Roman"/>
          <w:sz w:val="22"/>
          <w:szCs w:val="22"/>
        </w:rPr>
      </w:pPr>
      <w:r w:rsidRPr="005F6724">
        <w:rPr>
          <w:rFonts w:asciiTheme="majorBidi" w:hAnsiTheme="majorBidi" w:cs="Times New Roman"/>
          <w:sz w:val="22"/>
          <w:szCs w:val="22"/>
        </w:rPr>
        <w:t xml:space="preserve">Alperson-Afil, N. and N. Goren-Inbar. 2016. Scarce but significant: the limestone component of the Acheulian site of </w:t>
      </w:r>
      <w:proofErr w:type="spellStart"/>
      <w:r w:rsidRPr="005F6724">
        <w:rPr>
          <w:rFonts w:asciiTheme="majorBidi" w:hAnsiTheme="majorBidi" w:cs="Times New Roman"/>
          <w:sz w:val="22"/>
          <w:szCs w:val="22"/>
        </w:rPr>
        <w:t>Gesher</w:t>
      </w:r>
      <w:proofErr w:type="spellEnd"/>
      <w:r w:rsidRPr="005F6724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5F6724">
        <w:rPr>
          <w:rFonts w:asciiTheme="majorBidi" w:hAnsiTheme="majorBidi" w:cs="Times New Roman"/>
          <w:sz w:val="22"/>
          <w:szCs w:val="22"/>
        </w:rPr>
        <w:t>Benot</w:t>
      </w:r>
      <w:proofErr w:type="spellEnd"/>
      <w:r w:rsidRPr="005F6724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proofErr w:type="gramStart"/>
      <w:r w:rsidRPr="005F6724">
        <w:rPr>
          <w:rFonts w:asciiTheme="majorBidi" w:hAnsiTheme="majorBidi" w:cs="Times New Roman"/>
          <w:sz w:val="22"/>
          <w:szCs w:val="22"/>
        </w:rPr>
        <w:t>Ya‘</w:t>
      </w:r>
      <w:proofErr w:type="gramEnd"/>
      <w:r w:rsidRPr="005F6724">
        <w:rPr>
          <w:rFonts w:asciiTheme="majorBidi" w:hAnsiTheme="majorBidi" w:cs="Times New Roman"/>
          <w:sz w:val="22"/>
          <w:szCs w:val="22"/>
        </w:rPr>
        <w:t>aqov</w:t>
      </w:r>
      <w:proofErr w:type="spellEnd"/>
      <w:r w:rsidRPr="005F6724">
        <w:rPr>
          <w:rFonts w:asciiTheme="majorBidi" w:hAnsiTheme="majorBidi" w:cs="Times New Roman"/>
          <w:sz w:val="22"/>
          <w:szCs w:val="22"/>
        </w:rPr>
        <w:t xml:space="preserve">, Israel. In: M. N. </w:t>
      </w:r>
      <w:proofErr w:type="spellStart"/>
      <w:r w:rsidRPr="005F6724">
        <w:rPr>
          <w:rFonts w:asciiTheme="majorBidi" w:hAnsiTheme="majorBidi" w:cs="Times New Roman"/>
          <w:sz w:val="22"/>
          <w:szCs w:val="22"/>
        </w:rPr>
        <w:t>Haidle</w:t>
      </w:r>
      <w:proofErr w:type="spellEnd"/>
      <w:r w:rsidRPr="005F6724">
        <w:rPr>
          <w:rFonts w:asciiTheme="majorBidi" w:hAnsiTheme="majorBidi" w:cs="Times New Roman"/>
          <w:sz w:val="22"/>
          <w:szCs w:val="22"/>
        </w:rPr>
        <w:t xml:space="preserve">, N. J. Conard and Bolus, M (eds.) </w:t>
      </w:r>
      <w:r w:rsidRPr="005F6724">
        <w:rPr>
          <w:rFonts w:asciiTheme="majorBidi" w:hAnsiTheme="majorBidi" w:cs="Times New Roman"/>
          <w:i/>
          <w:iCs/>
          <w:sz w:val="22"/>
          <w:szCs w:val="22"/>
        </w:rPr>
        <w:t>The Nature of Culture</w:t>
      </w:r>
      <w:r w:rsidRPr="005F6724">
        <w:rPr>
          <w:rFonts w:asciiTheme="majorBidi" w:hAnsiTheme="majorBidi" w:cs="Times New Roman"/>
          <w:sz w:val="22"/>
          <w:szCs w:val="22"/>
        </w:rPr>
        <w:t>. Springer, Dordrecht, pp: 41-56.</w:t>
      </w:r>
    </w:p>
    <w:p w14:paraId="2D86E9F7" w14:textId="77777777" w:rsidR="005F6724" w:rsidRPr="005F6724" w:rsidRDefault="005F6724" w:rsidP="00253727">
      <w:pPr>
        <w:pStyle w:val="ListParagraph"/>
        <w:tabs>
          <w:tab w:val="left" w:pos="284"/>
        </w:tabs>
        <w:bidi w:val="0"/>
        <w:ind w:hanging="425"/>
        <w:rPr>
          <w:rFonts w:asciiTheme="majorBidi" w:hAnsiTheme="majorBidi" w:cs="Times New Roman"/>
          <w:sz w:val="22"/>
          <w:szCs w:val="22"/>
        </w:rPr>
      </w:pPr>
    </w:p>
    <w:p w14:paraId="2BCA8186" w14:textId="77777777" w:rsidR="005F6724" w:rsidRPr="005F6724" w:rsidRDefault="005F6724" w:rsidP="00253727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-360" w:hanging="425"/>
        <w:outlineLvl w:val="0"/>
        <w:rPr>
          <w:rFonts w:asciiTheme="majorBidi" w:hAnsiTheme="majorBidi" w:cs="Times New Roman"/>
          <w:sz w:val="22"/>
          <w:szCs w:val="22"/>
        </w:rPr>
      </w:pPr>
      <w:r w:rsidRPr="005F6724">
        <w:rPr>
          <w:rFonts w:asciiTheme="majorBidi" w:hAnsiTheme="majorBidi" w:cs="Times New Roman"/>
          <w:sz w:val="22"/>
          <w:szCs w:val="22"/>
        </w:rPr>
        <w:t xml:space="preserve">Alperson-Afil, N. 2016. </w:t>
      </w:r>
      <w:proofErr w:type="spellStart"/>
      <w:r w:rsidRPr="005F6724">
        <w:rPr>
          <w:rFonts w:asciiTheme="majorBidi" w:hAnsiTheme="majorBidi" w:cs="Times New Roman"/>
          <w:sz w:val="22"/>
          <w:szCs w:val="22"/>
        </w:rPr>
        <w:t>Gesher</w:t>
      </w:r>
      <w:proofErr w:type="spellEnd"/>
      <w:r w:rsidRPr="005F6724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5F6724">
        <w:rPr>
          <w:rFonts w:asciiTheme="majorBidi" w:hAnsiTheme="majorBidi" w:cs="Times New Roman"/>
          <w:sz w:val="22"/>
          <w:szCs w:val="22"/>
        </w:rPr>
        <w:t>Benot</w:t>
      </w:r>
      <w:proofErr w:type="spellEnd"/>
      <w:r w:rsidRPr="005F6724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proofErr w:type="gramStart"/>
      <w:r w:rsidRPr="005F6724">
        <w:rPr>
          <w:rFonts w:asciiTheme="majorBidi" w:hAnsiTheme="majorBidi" w:cs="Times New Roman"/>
          <w:sz w:val="22"/>
          <w:szCs w:val="22"/>
        </w:rPr>
        <w:t>Ya‘</w:t>
      </w:r>
      <w:proofErr w:type="gramEnd"/>
      <w:r w:rsidRPr="005F6724">
        <w:rPr>
          <w:rFonts w:asciiTheme="majorBidi" w:hAnsiTheme="majorBidi" w:cs="Times New Roman"/>
          <w:sz w:val="22"/>
          <w:szCs w:val="22"/>
        </w:rPr>
        <w:t>aqov</w:t>
      </w:r>
      <w:proofErr w:type="spellEnd"/>
      <w:r w:rsidRPr="005F6724">
        <w:rPr>
          <w:rFonts w:asciiTheme="majorBidi" w:hAnsiTheme="majorBidi" w:cs="Times New Roman"/>
          <w:sz w:val="22"/>
          <w:szCs w:val="22"/>
        </w:rPr>
        <w:t xml:space="preserve">. In: A. S. Gilbert (ed.) </w:t>
      </w:r>
      <w:r w:rsidRPr="005F6724">
        <w:rPr>
          <w:rFonts w:asciiTheme="majorBidi" w:hAnsiTheme="majorBidi" w:cs="Times New Roman"/>
          <w:i/>
          <w:iCs/>
          <w:sz w:val="22"/>
          <w:szCs w:val="22"/>
        </w:rPr>
        <w:t>Encyclopedia of Geoarchaeology</w:t>
      </w:r>
      <w:r w:rsidRPr="005F6724">
        <w:rPr>
          <w:rFonts w:asciiTheme="majorBidi" w:hAnsiTheme="majorBidi" w:cs="Times New Roman"/>
          <w:sz w:val="22"/>
          <w:szCs w:val="22"/>
        </w:rPr>
        <w:t>. Springer, Dordrecht, pp: 81G 1-2.</w:t>
      </w:r>
    </w:p>
    <w:p w14:paraId="12D7AE86" w14:textId="77777777" w:rsidR="005F6724" w:rsidRPr="005F6724" w:rsidRDefault="005F6724" w:rsidP="00253727">
      <w:pPr>
        <w:pStyle w:val="ListParagraph"/>
        <w:tabs>
          <w:tab w:val="left" w:pos="284"/>
        </w:tabs>
        <w:bidi w:val="0"/>
        <w:ind w:hanging="425"/>
        <w:rPr>
          <w:rFonts w:asciiTheme="majorBidi" w:hAnsiTheme="majorBidi" w:cs="Times New Roman"/>
          <w:sz w:val="22"/>
          <w:szCs w:val="22"/>
        </w:rPr>
      </w:pPr>
    </w:p>
    <w:p w14:paraId="774F1109" w14:textId="77777777" w:rsidR="005F6724" w:rsidRDefault="005F6724" w:rsidP="00253727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-360" w:hanging="425"/>
        <w:outlineLvl w:val="0"/>
        <w:rPr>
          <w:rFonts w:asciiTheme="majorBidi" w:hAnsiTheme="majorBidi" w:cs="Times New Roman"/>
          <w:sz w:val="22"/>
          <w:szCs w:val="22"/>
        </w:rPr>
      </w:pPr>
      <w:r w:rsidRPr="005F6724">
        <w:rPr>
          <w:rFonts w:asciiTheme="majorBidi" w:hAnsiTheme="majorBidi" w:cs="Times New Roman"/>
          <w:sz w:val="22"/>
          <w:szCs w:val="22"/>
        </w:rPr>
        <w:t xml:space="preserve">Alperson-Afil, N. and N. Goren-Inbar. 2016. Acheulian hafting: Proximal modification of small flint flakes at </w:t>
      </w:r>
      <w:proofErr w:type="spellStart"/>
      <w:r w:rsidRPr="005F6724">
        <w:rPr>
          <w:rFonts w:asciiTheme="majorBidi" w:hAnsiTheme="majorBidi" w:cs="Times New Roman"/>
          <w:sz w:val="22"/>
          <w:szCs w:val="22"/>
        </w:rPr>
        <w:t>Gesher</w:t>
      </w:r>
      <w:proofErr w:type="spellEnd"/>
      <w:r w:rsidRPr="005F6724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5F6724">
        <w:rPr>
          <w:rFonts w:asciiTheme="majorBidi" w:hAnsiTheme="majorBidi" w:cs="Times New Roman"/>
          <w:sz w:val="22"/>
          <w:szCs w:val="22"/>
        </w:rPr>
        <w:t>Benot</w:t>
      </w:r>
      <w:proofErr w:type="spellEnd"/>
      <w:r w:rsidRPr="005F6724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5F6724">
        <w:rPr>
          <w:rFonts w:asciiTheme="majorBidi" w:hAnsiTheme="majorBidi" w:cs="Times New Roman"/>
          <w:sz w:val="22"/>
          <w:szCs w:val="22"/>
        </w:rPr>
        <w:t>Ya'aqov</w:t>
      </w:r>
      <w:proofErr w:type="spellEnd"/>
      <w:r w:rsidRPr="005F6724">
        <w:rPr>
          <w:rFonts w:asciiTheme="majorBidi" w:hAnsiTheme="majorBidi" w:cs="Times New Roman"/>
          <w:sz w:val="22"/>
          <w:szCs w:val="22"/>
        </w:rPr>
        <w:t xml:space="preserve">, Israel. </w:t>
      </w:r>
      <w:r w:rsidRPr="005F6724">
        <w:rPr>
          <w:rFonts w:asciiTheme="majorBidi" w:hAnsiTheme="majorBidi" w:cs="Times New Roman"/>
          <w:i/>
          <w:iCs/>
          <w:sz w:val="22"/>
          <w:szCs w:val="22"/>
        </w:rPr>
        <w:t>Quaternary International</w:t>
      </w:r>
      <w:r w:rsidRPr="005F6724">
        <w:rPr>
          <w:rFonts w:asciiTheme="majorBidi" w:hAnsiTheme="majorBidi" w:cs="Times New Roman"/>
          <w:sz w:val="22"/>
          <w:szCs w:val="22"/>
        </w:rPr>
        <w:t xml:space="preserve"> 411B: 34-43. </w:t>
      </w:r>
    </w:p>
    <w:p w14:paraId="2F4D759D" w14:textId="77777777" w:rsidR="005F6724" w:rsidRDefault="005F6724" w:rsidP="00253727">
      <w:pPr>
        <w:pStyle w:val="ListParagraph"/>
        <w:tabs>
          <w:tab w:val="left" w:pos="284"/>
        </w:tabs>
        <w:bidi w:val="0"/>
        <w:ind w:hanging="425"/>
        <w:rPr>
          <w:rFonts w:asciiTheme="majorBidi" w:hAnsiTheme="majorBidi" w:cs="Times New Roman"/>
          <w:b/>
          <w:bCs/>
          <w:sz w:val="22"/>
          <w:szCs w:val="22"/>
        </w:rPr>
      </w:pPr>
    </w:p>
    <w:p w14:paraId="02763934" w14:textId="77777777" w:rsidR="00253727" w:rsidRDefault="005F6724" w:rsidP="00253727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-360" w:hanging="425"/>
        <w:outlineLvl w:val="0"/>
        <w:rPr>
          <w:rFonts w:asciiTheme="majorBidi" w:hAnsiTheme="majorBidi" w:cs="Times New Roman"/>
          <w:sz w:val="22"/>
          <w:szCs w:val="22"/>
        </w:rPr>
      </w:pPr>
      <w:r w:rsidRPr="00253727">
        <w:rPr>
          <w:rFonts w:asciiTheme="majorBidi" w:hAnsiTheme="majorBidi" w:cs="Times New Roman"/>
          <w:sz w:val="22"/>
          <w:szCs w:val="22"/>
        </w:rPr>
        <w:t xml:space="preserve">Alperson-Afil, N. 2017. Spatial analysis of fire: archaeological approach to recognizing early fire. </w:t>
      </w:r>
      <w:r w:rsidRPr="00253727">
        <w:rPr>
          <w:rFonts w:asciiTheme="majorBidi" w:hAnsiTheme="majorBidi" w:cs="Times New Roman"/>
          <w:i/>
          <w:iCs/>
          <w:sz w:val="22"/>
          <w:szCs w:val="22"/>
        </w:rPr>
        <w:t>Current Anthropology</w:t>
      </w:r>
      <w:r w:rsidR="00253727" w:rsidRPr="00253727">
        <w:rPr>
          <w:rFonts w:asciiTheme="majorBidi" w:hAnsiTheme="majorBidi" w:cs="Times New Roman"/>
          <w:sz w:val="22"/>
          <w:szCs w:val="22"/>
        </w:rPr>
        <w:t xml:space="preserve"> 58 (16)</w:t>
      </w:r>
      <w:r w:rsidRPr="00253727">
        <w:rPr>
          <w:rFonts w:asciiTheme="majorBidi" w:hAnsiTheme="majorBidi" w:cs="Times New Roman"/>
          <w:sz w:val="22"/>
          <w:szCs w:val="22"/>
        </w:rPr>
        <w:t>.</w:t>
      </w:r>
    </w:p>
    <w:p w14:paraId="0C7D4444" w14:textId="77777777" w:rsidR="00253727" w:rsidRDefault="00253727" w:rsidP="00253727">
      <w:pPr>
        <w:pStyle w:val="ListParagraph"/>
        <w:tabs>
          <w:tab w:val="left" w:pos="284"/>
        </w:tabs>
        <w:bidi w:val="0"/>
        <w:ind w:hanging="425"/>
        <w:rPr>
          <w:rFonts w:asciiTheme="majorBidi" w:hAnsiTheme="majorBidi" w:cs="Times New Roman"/>
          <w:sz w:val="22"/>
          <w:szCs w:val="22"/>
        </w:rPr>
      </w:pPr>
    </w:p>
    <w:p w14:paraId="7CB902CF" w14:textId="77777777" w:rsidR="00253727" w:rsidRDefault="00253727" w:rsidP="00253727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-360" w:hanging="426"/>
        <w:outlineLvl w:val="0"/>
        <w:rPr>
          <w:rFonts w:asciiTheme="majorBidi" w:hAnsiTheme="majorBidi" w:cs="Times New Roman"/>
          <w:sz w:val="22"/>
          <w:szCs w:val="22"/>
        </w:rPr>
      </w:pPr>
      <w:r w:rsidRPr="00253727">
        <w:rPr>
          <w:rFonts w:asciiTheme="majorBidi" w:hAnsiTheme="majorBidi" w:cs="Times New Roman"/>
          <w:sz w:val="22"/>
          <w:szCs w:val="22"/>
        </w:rPr>
        <w:t xml:space="preserve">Alperson-Afil, N. Richter, </w:t>
      </w:r>
      <w:proofErr w:type="gramStart"/>
      <w:r w:rsidRPr="00253727">
        <w:rPr>
          <w:rFonts w:asciiTheme="majorBidi" w:hAnsiTheme="majorBidi" w:cs="Times New Roman"/>
          <w:sz w:val="22"/>
          <w:szCs w:val="22"/>
        </w:rPr>
        <w:t>D.</w:t>
      </w:r>
      <w:proofErr w:type="gramEnd"/>
      <w:r w:rsidRPr="00253727">
        <w:rPr>
          <w:rFonts w:asciiTheme="majorBidi" w:hAnsiTheme="majorBidi" w:cs="Times New Roman"/>
          <w:sz w:val="22"/>
          <w:szCs w:val="22"/>
        </w:rPr>
        <w:t xml:space="preserve"> and N. Goren-Inbar. 2017. Evaluating the intensity of fire at the Acheulian site of </w:t>
      </w:r>
      <w:proofErr w:type="spellStart"/>
      <w:r w:rsidRPr="00253727">
        <w:rPr>
          <w:rFonts w:asciiTheme="majorBidi" w:hAnsiTheme="majorBidi" w:cs="Times New Roman"/>
          <w:sz w:val="22"/>
          <w:szCs w:val="22"/>
        </w:rPr>
        <w:t>Gesher</w:t>
      </w:r>
      <w:proofErr w:type="spellEnd"/>
      <w:r w:rsidRPr="00253727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253727">
        <w:rPr>
          <w:rFonts w:asciiTheme="majorBidi" w:hAnsiTheme="majorBidi" w:cs="Times New Roman"/>
          <w:sz w:val="22"/>
          <w:szCs w:val="22"/>
        </w:rPr>
        <w:t>Benot</w:t>
      </w:r>
      <w:proofErr w:type="spellEnd"/>
      <w:r w:rsidRPr="00253727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253727">
        <w:rPr>
          <w:rFonts w:asciiTheme="majorBidi" w:hAnsiTheme="majorBidi" w:cs="Times New Roman"/>
          <w:sz w:val="22"/>
          <w:szCs w:val="22"/>
        </w:rPr>
        <w:t>Ya'aqov</w:t>
      </w:r>
      <w:proofErr w:type="spellEnd"/>
      <w:r w:rsidRPr="00253727">
        <w:rPr>
          <w:rFonts w:asciiTheme="majorBidi" w:hAnsiTheme="majorBidi" w:cs="Times New Roman"/>
          <w:sz w:val="22"/>
          <w:szCs w:val="22"/>
        </w:rPr>
        <w:t>: Spatial and thermoluminescence analyses</w:t>
      </w:r>
      <w:r w:rsidRPr="00253727">
        <w:rPr>
          <w:rFonts w:asciiTheme="majorBidi" w:hAnsiTheme="majorBidi" w:cs="Times New Roman"/>
          <w:i/>
          <w:iCs/>
          <w:sz w:val="22"/>
          <w:szCs w:val="22"/>
        </w:rPr>
        <w:t xml:space="preserve">. </w:t>
      </w:r>
      <w:proofErr w:type="spellStart"/>
      <w:r w:rsidRPr="00253727">
        <w:rPr>
          <w:rFonts w:asciiTheme="majorBidi" w:hAnsiTheme="majorBidi" w:cs="Times New Roman"/>
          <w:i/>
          <w:iCs/>
          <w:sz w:val="22"/>
          <w:szCs w:val="22"/>
        </w:rPr>
        <w:t>PLoS</w:t>
      </w:r>
      <w:proofErr w:type="spellEnd"/>
      <w:r w:rsidRPr="00253727">
        <w:rPr>
          <w:rFonts w:asciiTheme="majorBidi" w:hAnsiTheme="majorBidi" w:cs="Times New Roman"/>
          <w:i/>
          <w:iCs/>
          <w:sz w:val="22"/>
          <w:szCs w:val="22"/>
        </w:rPr>
        <w:t xml:space="preserve"> ONE</w:t>
      </w:r>
      <w:r w:rsidRPr="00253727">
        <w:rPr>
          <w:rFonts w:asciiTheme="majorBidi" w:hAnsiTheme="majorBidi" w:cs="Times New Roman"/>
          <w:sz w:val="22"/>
          <w:szCs w:val="22"/>
        </w:rPr>
        <w:t xml:space="preserve"> 12: 1-15.</w:t>
      </w:r>
    </w:p>
    <w:p w14:paraId="60ADBCA1" w14:textId="77777777" w:rsidR="00253727" w:rsidRDefault="00253727" w:rsidP="00253727">
      <w:pPr>
        <w:pStyle w:val="ListParagraph"/>
        <w:tabs>
          <w:tab w:val="left" w:pos="284"/>
        </w:tabs>
        <w:bidi w:val="0"/>
        <w:ind w:hanging="426"/>
        <w:rPr>
          <w:rFonts w:asciiTheme="majorBidi" w:hAnsiTheme="majorBidi" w:cs="Times New Roman"/>
          <w:sz w:val="22"/>
          <w:szCs w:val="22"/>
        </w:rPr>
      </w:pPr>
    </w:p>
    <w:p w14:paraId="5D292577" w14:textId="3AC6EE84" w:rsidR="00253727" w:rsidRPr="00253727" w:rsidRDefault="00253727" w:rsidP="00253727">
      <w:pPr>
        <w:widowControl w:val="0"/>
        <w:numPr>
          <w:ilvl w:val="0"/>
          <w:numId w:val="14"/>
        </w:numPr>
        <w:tabs>
          <w:tab w:val="left" w:pos="284"/>
          <w:tab w:val="left" w:pos="1928"/>
          <w:tab w:val="left" w:pos="2495"/>
          <w:tab w:val="left" w:pos="3062"/>
        </w:tabs>
        <w:bidi w:val="0"/>
        <w:spacing w:line="276" w:lineRule="auto"/>
        <w:ind w:left="284" w:right="-360" w:hanging="426"/>
        <w:outlineLvl w:val="0"/>
        <w:rPr>
          <w:rFonts w:asciiTheme="majorBidi" w:hAnsiTheme="majorBidi" w:cs="Times New Roman"/>
          <w:sz w:val="22"/>
          <w:szCs w:val="22"/>
        </w:rPr>
      </w:pPr>
      <w:r w:rsidRPr="00253727">
        <w:rPr>
          <w:rFonts w:asciiTheme="majorBidi" w:hAnsiTheme="majorBidi" w:cs="Times New Roman"/>
          <w:sz w:val="22"/>
          <w:szCs w:val="22"/>
        </w:rPr>
        <w:t xml:space="preserve">Ahituv, H., Weiss, E. and Alperson-Afil, N. 2019. Breaking the mold of Natufian basalt mortars: experimental production and archaeological implications. </w:t>
      </w:r>
      <w:r w:rsidRPr="004F22B3">
        <w:rPr>
          <w:rFonts w:asciiTheme="majorBidi" w:hAnsiTheme="majorBidi" w:cs="Times New Roman"/>
          <w:i/>
          <w:iCs/>
          <w:sz w:val="22"/>
          <w:szCs w:val="22"/>
        </w:rPr>
        <w:t>Journal of Paleolithic Archaeology</w:t>
      </w:r>
      <w:r w:rsidRPr="00253727">
        <w:rPr>
          <w:rFonts w:asciiTheme="majorBidi" w:hAnsiTheme="majorBidi" w:cs="Times New Roman"/>
          <w:sz w:val="22"/>
          <w:szCs w:val="22"/>
        </w:rPr>
        <w:t>. DOI: 10.1007/s41982-018-0017-7.</w:t>
      </w:r>
    </w:p>
    <w:p w14:paraId="0E8F2FA8" w14:textId="77777777" w:rsidR="00253727" w:rsidRDefault="00253727" w:rsidP="00253727">
      <w:pPr>
        <w:pStyle w:val="ListParagraph"/>
        <w:tabs>
          <w:tab w:val="left" w:pos="284"/>
        </w:tabs>
        <w:bidi w:val="0"/>
        <w:ind w:left="284" w:hanging="426"/>
        <w:rPr>
          <w:rFonts w:asciiTheme="majorBidi" w:hAnsiTheme="majorBidi" w:cs="Times New Roman"/>
          <w:sz w:val="22"/>
          <w:szCs w:val="22"/>
        </w:rPr>
      </w:pPr>
    </w:p>
    <w:p w14:paraId="1558B977" w14:textId="77777777" w:rsidR="00253727" w:rsidRDefault="00253727" w:rsidP="00253727">
      <w:pPr>
        <w:widowControl w:val="0"/>
        <w:numPr>
          <w:ilvl w:val="0"/>
          <w:numId w:val="14"/>
        </w:numPr>
        <w:tabs>
          <w:tab w:val="left" w:pos="284"/>
          <w:tab w:val="left" w:pos="1928"/>
          <w:tab w:val="left" w:pos="2495"/>
          <w:tab w:val="left" w:pos="3062"/>
        </w:tabs>
        <w:bidi w:val="0"/>
        <w:spacing w:line="276" w:lineRule="auto"/>
        <w:ind w:left="284" w:right="-360" w:hanging="426"/>
        <w:outlineLvl w:val="0"/>
        <w:rPr>
          <w:rFonts w:asciiTheme="majorBidi" w:hAnsiTheme="majorBidi" w:cs="Times New Roman"/>
          <w:sz w:val="22"/>
          <w:szCs w:val="22"/>
        </w:rPr>
      </w:pPr>
      <w:r w:rsidRPr="00253727">
        <w:rPr>
          <w:rFonts w:asciiTheme="majorBidi" w:hAnsiTheme="majorBidi" w:cs="Times New Roman"/>
          <w:sz w:val="22"/>
          <w:szCs w:val="22"/>
        </w:rPr>
        <w:t xml:space="preserve">Alperson-Afil, N. 2019. Demographic changes as triggers for the loss of skills during the Lower </w:t>
      </w:r>
      <w:proofErr w:type="spellStart"/>
      <w:r w:rsidRPr="00253727">
        <w:rPr>
          <w:rFonts w:asciiTheme="majorBidi" w:hAnsiTheme="majorBidi" w:cs="Times New Roman"/>
          <w:sz w:val="22"/>
          <w:szCs w:val="22"/>
        </w:rPr>
        <w:t>Palaeolithic</w:t>
      </w:r>
      <w:proofErr w:type="spellEnd"/>
      <w:r w:rsidRPr="00253727">
        <w:rPr>
          <w:rFonts w:asciiTheme="majorBidi" w:hAnsiTheme="majorBidi" w:cs="Times New Roman"/>
          <w:sz w:val="22"/>
          <w:szCs w:val="22"/>
        </w:rPr>
        <w:t xml:space="preserve"> Levant. </w:t>
      </w:r>
      <w:r w:rsidRPr="004F22B3">
        <w:rPr>
          <w:rFonts w:asciiTheme="majorBidi" w:hAnsiTheme="majorBidi" w:cs="Times New Roman"/>
          <w:i/>
          <w:iCs/>
          <w:sz w:val="22"/>
          <w:szCs w:val="22"/>
        </w:rPr>
        <w:t>Insights of Anthropology</w:t>
      </w:r>
      <w:r w:rsidRPr="00253727">
        <w:rPr>
          <w:rFonts w:asciiTheme="majorBidi" w:hAnsiTheme="majorBidi" w:cs="Times New Roman"/>
          <w:sz w:val="22"/>
          <w:szCs w:val="22"/>
        </w:rPr>
        <w:t xml:space="preserve"> 3: 134-146.</w:t>
      </w:r>
    </w:p>
    <w:p w14:paraId="07CFCD25" w14:textId="77777777" w:rsidR="00253727" w:rsidRDefault="00253727" w:rsidP="00253727">
      <w:pPr>
        <w:pStyle w:val="ListParagraph"/>
        <w:tabs>
          <w:tab w:val="left" w:pos="284"/>
        </w:tabs>
        <w:bidi w:val="0"/>
        <w:ind w:left="284" w:hanging="426"/>
        <w:rPr>
          <w:rFonts w:asciiTheme="majorBidi" w:hAnsiTheme="majorBidi" w:cs="Times New Roman"/>
          <w:sz w:val="22"/>
          <w:szCs w:val="22"/>
        </w:rPr>
      </w:pPr>
    </w:p>
    <w:p w14:paraId="0372244F" w14:textId="77777777" w:rsidR="00253727" w:rsidRDefault="00253727" w:rsidP="00253727">
      <w:pPr>
        <w:widowControl w:val="0"/>
        <w:numPr>
          <w:ilvl w:val="0"/>
          <w:numId w:val="14"/>
        </w:numPr>
        <w:tabs>
          <w:tab w:val="left" w:pos="284"/>
          <w:tab w:val="left" w:pos="1928"/>
          <w:tab w:val="left" w:pos="2495"/>
          <w:tab w:val="left" w:pos="3062"/>
        </w:tabs>
        <w:bidi w:val="0"/>
        <w:spacing w:line="276" w:lineRule="auto"/>
        <w:ind w:left="284" w:right="-360" w:hanging="426"/>
        <w:outlineLvl w:val="0"/>
        <w:rPr>
          <w:rFonts w:asciiTheme="majorBidi" w:hAnsiTheme="majorBidi" w:cs="Times New Roman"/>
          <w:sz w:val="22"/>
          <w:szCs w:val="22"/>
        </w:rPr>
      </w:pPr>
      <w:r w:rsidRPr="00253727">
        <w:rPr>
          <w:rFonts w:asciiTheme="majorBidi" w:hAnsiTheme="majorBidi" w:cs="Times New Roman"/>
          <w:sz w:val="22"/>
          <w:szCs w:val="22"/>
        </w:rPr>
        <w:t xml:space="preserve">Alperson-Afil, N. 2019. Digitizing the undigitized: converting traditional archaeological records into computerized, three-dimensional site reconstruction.  </w:t>
      </w:r>
      <w:r w:rsidRPr="004F22B3">
        <w:rPr>
          <w:rFonts w:asciiTheme="majorBidi" w:hAnsiTheme="majorBidi" w:cs="Times New Roman"/>
          <w:i/>
          <w:iCs/>
          <w:sz w:val="22"/>
          <w:szCs w:val="22"/>
        </w:rPr>
        <w:t xml:space="preserve">Journal of Geographic </w:t>
      </w:r>
      <w:r w:rsidRPr="004F22B3">
        <w:rPr>
          <w:rFonts w:asciiTheme="majorBidi" w:hAnsiTheme="majorBidi" w:cs="Times New Roman"/>
          <w:i/>
          <w:iCs/>
          <w:sz w:val="22"/>
          <w:szCs w:val="22"/>
        </w:rPr>
        <w:lastRenderedPageBreak/>
        <w:t>Information System</w:t>
      </w:r>
      <w:r w:rsidRPr="00253727">
        <w:rPr>
          <w:rFonts w:asciiTheme="majorBidi" w:hAnsiTheme="majorBidi" w:cs="Times New Roman"/>
          <w:sz w:val="22"/>
          <w:szCs w:val="22"/>
        </w:rPr>
        <w:t xml:space="preserve"> 11: 747-765. </w:t>
      </w:r>
    </w:p>
    <w:p w14:paraId="4CE79D0D" w14:textId="77777777" w:rsidR="00253727" w:rsidRDefault="00253727" w:rsidP="00253727">
      <w:pPr>
        <w:pStyle w:val="ListParagraph"/>
        <w:tabs>
          <w:tab w:val="left" w:pos="284"/>
        </w:tabs>
        <w:bidi w:val="0"/>
        <w:ind w:hanging="426"/>
        <w:rPr>
          <w:rFonts w:asciiTheme="majorBidi" w:hAnsiTheme="majorBidi" w:cs="Times New Roman"/>
          <w:sz w:val="22"/>
          <w:szCs w:val="22"/>
        </w:rPr>
      </w:pPr>
    </w:p>
    <w:p w14:paraId="3AE22D51" w14:textId="6C80D7F5" w:rsidR="00253727" w:rsidRDefault="00253727" w:rsidP="00253727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-360" w:hanging="426"/>
        <w:outlineLvl w:val="0"/>
        <w:rPr>
          <w:rFonts w:asciiTheme="majorBidi" w:hAnsiTheme="majorBidi" w:cs="Times New Roman"/>
          <w:sz w:val="22"/>
          <w:szCs w:val="22"/>
        </w:rPr>
      </w:pPr>
      <w:r w:rsidRPr="00253727">
        <w:rPr>
          <w:rFonts w:asciiTheme="majorBidi" w:hAnsiTheme="majorBidi" w:cs="Times New Roman"/>
          <w:sz w:val="22"/>
          <w:szCs w:val="22"/>
        </w:rPr>
        <w:t xml:space="preserve">Alperson-Afil, N., Goren-Inbar, N., </w:t>
      </w:r>
      <w:proofErr w:type="spellStart"/>
      <w:r w:rsidRPr="00253727">
        <w:rPr>
          <w:rFonts w:asciiTheme="majorBidi" w:hAnsiTheme="majorBidi" w:cs="Times New Roman"/>
          <w:sz w:val="22"/>
          <w:szCs w:val="22"/>
        </w:rPr>
        <w:t>Herzlinger</w:t>
      </w:r>
      <w:proofErr w:type="spellEnd"/>
      <w:r w:rsidRPr="00253727">
        <w:rPr>
          <w:rFonts w:asciiTheme="majorBidi" w:hAnsiTheme="majorBidi" w:cs="Times New Roman"/>
          <w:sz w:val="22"/>
          <w:szCs w:val="22"/>
        </w:rPr>
        <w:t xml:space="preserve">, G., and Wynn, T. 2019. Expert retrieval structures and prospective memory in the cognition of Acheulian Hominins. </w:t>
      </w:r>
      <w:r w:rsidRPr="004F22B3">
        <w:rPr>
          <w:rFonts w:asciiTheme="majorBidi" w:hAnsiTheme="majorBidi" w:cs="Times New Roman"/>
          <w:i/>
          <w:iCs/>
          <w:sz w:val="22"/>
          <w:szCs w:val="22"/>
        </w:rPr>
        <w:t>Psychology</w:t>
      </w:r>
      <w:r w:rsidRPr="00253727">
        <w:rPr>
          <w:rFonts w:asciiTheme="majorBidi" w:hAnsiTheme="majorBidi" w:cs="Times New Roman"/>
          <w:sz w:val="22"/>
          <w:szCs w:val="22"/>
        </w:rPr>
        <w:t xml:space="preserve"> 11: 173-189.</w:t>
      </w:r>
    </w:p>
    <w:p w14:paraId="13E4C797" w14:textId="77777777" w:rsidR="00253727" w:rsidRDefault="00253727" w:rsidP="00253727">
      <w:pPr>
        <w:pStyle w:val="ListParagraph"/>
        <w:bidi w:val="0"/>
        <w:ind w:left="284" w:hanging="426"/>
        <w:rPr>
          <w:rFonts w:asciiTheme="majorBidi" w:hAnsiTheme="majorBidi" w:cs="Times New Roman"/>
          <w:sz w:val="22"/>
          <w:szCs w:val="22"/>
        </w:rPr>
      </w:pPr>
    </w:p>
    <w:p w14:paraId="25E9C2D9" w14:textId="7D55989B" w:rsidR="00253727" w:rsidRDefault="008F52DE" w:rsidP="008F52DE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-360" w:hanging="426"/>
        <w:outlineLvl w:val="0"/>
        <w:rPr>
          <w:rFonts w:asciiTheme="majorBidi" w:hAnsiTheme="majorBidi" w:cs="Times New Roman"/>
          <w:sz w:val="22"/>
          <w:szCs w:val="22"/>
        </w:rPr>
      </w:pPr>
      <w:r w:rsidRPr="008F52DE">
        <w:rPr>
          <w:rFonts w:asciiTheme="majorBidi" w:hAnsiTheme="majorBidi" w:cs="Times New Roman"/>
          <w:sz w:val="22"/>
          <w:szCs w:val="22"/>
        </w:rPr>
        <w:t>Alperson-Afil</w:t>
      </w:r>
      <w:r>
        <w:rPr>
          <w:rFonts w:asciiTheme="majorBidi" w:hAnsiTheme="majorBidi" w:cs="Times New Roman"/>
          <w:sz w:val="22"/>
          <w:szCs w:val="22"/>
        </w:rPr>
        <w:t>, N</w:t>
      </w:r>
      <w:r w:rsidRPr="008F52DE">
        <w:rPr>
          <w:rFonts w:asciiTheme="majorBidi" w:hAnsiTheme="majorBidi" w:cs="Times New Roman"/>
          <w:sz w:val="22"/>
          <w:szCs w:val="22"/>
        </w:rPr>
        <w:t xml:space="preserve">. </w:t>
      </w:r>
      <w:r w:rsidR="00125AEA">
        <w:rPr>
          <w:rFonts w:asciiTheme="majorBidi" w:hAnsiTheme="majorBidi" w:cs="Times New Roman"/>
          <w:sz w:val="22"/>
          <w:szCs w:val="22"/>
        </w:rPr>
        <w:t>2020</w:t>
      </w:r>
      <w:r w:rsidRPr="008F52DE">
        <w:rPr>
          <w:rFonts w:asciiTheme="majorBidi" w:hAnsiTheme="majorBidi" w:cs="Times New Roman"/>
          <w:sz w:val="22"/>
          <w:szCs w:val="22"/>
        </w:rPr>
        <w:t xml:space="preserve">. On the behavior of Acheulian man in the Paleo Hula Valley. </w:t>
      </w:r>
      <w:proofErr w:type="spellStart"/>
      <w:r w:rsidRPr="008F52DE">
        <w:rPr>
          <w:rFonts w:asciiTheme="majorBidi" w:hAnsiTheme="majorBidi" w:cs="Times New Roman"/>
          <w:i/>
          <w:iCs/>
          <w:sz w:val="22"/>
          <w:szCs w:val="22"/>
        </w:rPr>
        <w:t>Qadmoniot</w:t>
      </w:r>
      <w:proofErr w:type="spellEnd"/>
      <w:r w:rsidRPr="008F52DE">
        <w:rPr>
          <w:rFonts w:asciiTheme="majorBidi" w:hAnsiTheme="majorBidi" w:cs="Times New Roman"/>
          <w:sz w:val="22"/>
          <w:szCs w:val="22"/>
        </w:rPr>
        <w:t xml:space="preserve"> </w:t>
      </w:r>
      <w:r w:rsidR="00125AEA">
        <w:rPr>
          <w:rFonts w:asciiTheme="majorBidi" w:hAnsiTheme="majorBidi" w:cs="Times New Roman"/>
          <w:sz w:val="22"/>
          <w:szCs w:val="22"/>
        </w:rPr>
        <w:t xml:space="preserve">159: 34–42 </w:t>
      </w:r>
      <w:r w:rsidRPr="008F52DE">
        <w:rPr>
          <w:rFonts w:asciiTheme="majorBidi" w:hAnsiTheme="majorBidi" w:cs="Times New Roman"/>
          <w:sz w:val="22"/>
          <w:szCs w:val="22"/>
        </w:rPr>
        <w:t>(Hebrew).</w:t>
      </w:r>
    </w:p>
    <w:p w14:paraId="57E1EDE4" w14:textId="77777777" w:rsidR="00125AEA" w:rsidRDefault="00125AEA" w:rsidP="00125AEA">
      <w:pPr>
        <w:pStyle w:val="ListParagraph"/>
        <w:rPr>
          <w:rFonts w:asciiTheme="majorBidi" w:hAnsiTheme="majorBidi" w:cs="Times New Roman"/>
          <w:sz w:val="22"/>
          <w:szCs w:val="22"/>
        </w:rPr>
      </w:pPr>
    </w:p>
    <w:p w14:paraId="57CC68EB" w14:textId="7099D1C5" w:rsidR="00125AEA" w:rsidRDefault="00125AEA" w:rsidP="00125AEA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-360" w:hanging="426"/>
        <w:outlineLvl w:val="0"/>
        <w:rPr>
          <w:rFonts w:asciiTheme="majorBidi" w:hAnsiTheme="majorBidi" w:cs="Times New Roman"/>
          <w:sz w:val="22"/>
          <w:szCs w:val="22"/>
        </w:rPr>
      </w:pPr>
      <w:r w:rsidRPr="00125AEA">
        <w:rPr>
          <w:rFonts w:asciiTheme="majorBidi" w:hAnsiTheme="majorBidi" w:cs="Times New Roman"/>
          <w:sz w:val="22"/>
          <w:szCs w:val="22"/>
        </w:rPr>
        <w:t xml:space="preserve">Zohar, I., Alperson-Afil, N., Goren-Inbar, N., </w:t>
      </w:r>
      <w:proofErr w:type="spellStart"/>
      <w:r w:rsidRPr="00125AEA">
        <w:rPr>
          <w:rFonts w:asciiTheme="majorBidi" w:hAnsiTheme="majorBidi" w:cs="Times New Roman"/>
          <w:sz w:val="22"/>
          <w:szCs w:val="22"/>
        </w:rPr>
        <w:t>Prévost</w:t>
      </w:r>
      <w:proofErr w:type="spellEnd"/>
      <w:r w:rsidRPr="00125AEA">
        <w:rPr>
          <w:rFonts w:asciiTheme="majorBidi" w:hAnsiTheme="majorBidi" w:cs="Times New Roman"/>
          <w:sz w:val="22"/>
          <w:szCs w:val="22"/>
        </w:rPr>
        <w:t xml:space="preserve">, M., Tütken, T., Sisma-Ventura, G., ... &amp; Najorka, J. (2022). Evidence for the cooking of fish 780,000 years ago at </w:t>
      </w:r>
      <w:proofErr w:type="spellStart"/>
      <w:r w:rsidRPr="00125AEA">
        <w:rPr>
          <w:rFonts w:asciiTheme="majorBidi" w:hAnsiTheme="majorBidi" w:cs="Times New Roman"/>
          <w:sz w:val="22"/>
          <w:szCs w:val="22"/>
        </w:rPr>
        <w:t>Gesher</w:t>
      </w:r>
      <w:proofErr w:type="spellEnd"/>
      <w:r w:rsidRPr="00125AEA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125AEA">
        <w:rPr>
          <w:rFonts w:asciiTheme="majorBidi" w:hAnsiTheme="majorBidi" w:cs="Times New Roman"/>
          <w:sz w:val="22"/>
          <w:szCs w:val="22"/>
        </w:rPr>
        <w:t>Benot</w:t>
      </w:r>
      <w:proofErr w:type="spellEnd"/>
      <w:r w:rsidRPr="00125AEA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125AEA">
        <w:rPr>
          <w:rFonts w:asciiTheme="majorBidi" w:hAnsiTheme="majorBidi" w:cs="Times New Roman"/>
          <w:sz w:val="22"/>
          <w:szCs w:val="22"/>
        </w:rPr>
        <w:t>Ya’aqov</w:t>
      </w:r>
      <w:proofErr w:type="spellEnd"/>
      <w:r w:rsidRPr="00125AEA">
        <w:rPr>
          <w:rFonts w:asciiTheme="majorBidi" w:hAnsiTheme="majorBidi" w:cs="Times New Roman"/>
          <w:sz w:val="22"/>
          <w:szCs w:val="22"/>
        </w:rPr>
        <w:t>, Israel. </w:t>
      </w:r>
      <w:r w:rsidRPr="00125AEA">
        <w:rPr>
          <w:rFonts w:asciiTheme="majorBidi" w:hAnsiTheme="majorBidi" w:cs="Times New Roman"/>
          <w:i/>
          <w:iCs/>
          <w:sz w:val="22"/>
          <w:szCs w:val="22"/>
        </w:rPr>
        <w:t>Nature Ecology &amp; Evolution</w:t>
      </w:r>
      <w:r w:rsidRPr="00125AEA">
        <w:rPr>
          <w:rFonts w:asciiTheme="majorBidi" w:hAnsiTheme="majorBidi" w:cs="Times New Roman"/>
          <w:sz w:val="22"/>
          <w:szCs w:val="22"/>
        </w:rPr>
        <w:t>, 6(12)</w:t>
      </w:r>
      <w:r>
        <w:rPr>
          <w:rFonts w:asciiTheme="majorBidi" w:hAnsiTheme="majorBidi" w:cs="Times New Roman"/>
          <w:sz w:val="22"/>
          <w:szCs w:val="22"/>
        </w:rPr>
        <w:t>.</w:t>
      </w:r>
    </w:p>
    <w:p w14:paraId="6ADAF4F7" w14:textId="77777777" w:rsidR="008F52DE" w:rsidRDefault="008F52DE" w:rsidP="008F52DE">
      <w:pPr>
        <w:pStyle w:val="ListParagraph"/>
        <w:rPr>
          <w:rFonts w:asciiTheme="majorBidi" w:hAnsiTheme="majorBidi" w:cs="Times New Roman"/>
          <w:sz w:val="22"/>
          <w:szCs w:val="22"/>
        </w:rPr>
      </w:pPr>
    </w:p>
    <w:p w14:paraId="7B642537" w14:textId="6A3B3F7D" w:rsidR="00EF1784" w:rsidRPr="004D2ACB" w:rsidRDefault="008F52DE" w:rsidP="004D2ACB">
      <w:pPr>
        <w:widowControl w:val="0"/>
        <w:numPr>
          <w:ilvl w:val="0"/>
          <w:numId w:val="14"/>
        </w:numPr>
        <w:tabs>
          <w:tab w:val="left" w:pos="284"/>
          <w:tab w:val="left" w:pos="709"/>
          <w:tab w:val="left" w:pos="1928"/>
          <w:tab w:val="left" w:pos="2495"/>
          <w:tab w:val="left" w:pos="3062"/>
        </w:tabs>
        <w:bidi w:val="0"/>
        <w:spacing w:line="276" w:lineRule="auto"/>
        <w:ind w:left="284" w:right="-360" w:hanging="426"/>
        <w:outlineLvl w:val="0"/>
        <w:rPr>
          <w:rFonts w:asciiTheme="majorBidi" w:hAnsiTheme="majorBidi" w:cs="Times New Roman"/>
          <w:sz w:val="22"/>
          <w:szCs w:val="22"/>
          <w:rtl/>
        </w:rPr>
      </w:pPr>
      <w:r w:rsidRPr="008F52DE">
        <w:rPr>
          <w:rFonts w:asciiTheme="majorBidi" w:hAnsiTheme="majorBidi" w:cs="Times New Roman"/>
          <w:sz w:val="22"/>
          <w:szCs w:val="22"/>
        </w:rPr>
        <w:t>Alperson-Afil, N</w:t>
      </w:r>
      <w:r>
        <w:rPr>
          <w:rFonts w:asciiTheme="majorBidi" w:hAnsiTheme="majorBidi" w:cs="Times New Roman"/>
          <w:sz w:val="22"/>
          <w:szCs w:val="22"/>
        </w:rPr>
        <w:t>. in press.</w:t>
      </w:r>
      <w:r w:rsidRPr="008F52DE">
        <w:rPr>
          <w:rFonts w:asciiTheme="majorBidi" w:hAnsiTheme="majorBidi" w:cs="Times New Roman"/>
          <w:sz w:val="22"/>
          <w:szCs w:val="22"/>
        </w:rPr>
        <w:t xml:space="preserve"> Acheulian Cognition and Behavior at </w:t>
      </w:r>
      <w:proofErr w:type="spellStart"/>
      <w:r w:rsidRPr="008F52DE">
        <w:rPr>
          <w:rFonts w:asciiTheme="majorBidi" w:hAnsiTheme="majorBidi" w:cs="Times New Roman"/>
          <w:sz w:val="22"/>
          <w:szCs w:val="22"/>
        </w:rPr>
        <w:t>Gesher</w:t>
      </w:r>
      <w:proofErr w:type="spellEnd"/>
      <w:r w:rsidRPr="008F52DE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8F52DE">
        <w:rPr>
          <w:rFonts w:asciiTheme="majorBidi" w:hAnsiTheme="majorBidi" w:cs="Times New Roman"/>
          <w:sz w:val="22"/>
          <w:szCs w:val="22"/>
        </w:rPr>
        <w:t>Benot</w:t>
      </w:r>
      <w:proofErr w:type="spellEnd"/>
      <w:r w:rsidRPr="008F52DE">
        <w:rPr>
          <w:rFonts w:asciiTheme="majorBidi" w:hAnsiTheme="majorBidi" w:cs="Times New Roman"/>
          <w:sz w:val="22"/>
          <w:szCs w:val="22"/>
        </w:rPr>
        <w:t xml:space="preserve"> </w:t>
      </w:r>
      <w:proofErr w:type="spellStart"/>
      <w:r w:rsidRPr="008F52DE">
        <w:rPr>
          <w:rFonts w:asciiTheme="majorBidi" w:hAnsiTheme="majorBidi" w:cs="Times New Roman"/>
          <w:sz w:val="22"/>
          <w:szCs w:val="22"/>
        </w:rPr>
        <w:t>Ya‛aqov</w:t>
      </w:r>
      <w:proofErr w:type="spellEnd"/>
      <w:r w:rsidRPr="008F52DE">
        <w:rPr>
          <w:rFonts w:asciiTheme="majorBidi" w:hAnsiTheme="majorBidi" w:cs="Times New Roman"/>
          <w:sz w:val="22"/>
          <w:szCs w:val="22"/>
        </w:rPr>
        <w:t xml:space="preserve">. In: Wynn, T., Overmann, K., and F. Coolidge (eds.) </w:t>
      </w:r>
      <w:r w:rsidRPr="004F22B3">
        <w:rPr>
          <w:rFonts w:asciiTheme="majorBidi" w:hAnsiTheme="majorBidi" w:cs="Times New Roman"/>
          <w:i/>
          <w:iCs/>
          <w:sz w:val="22"/>
          <w:szCs w:val="22"/>
        </w:rPr>
        <w:t>Handbook of Cognitive Archaeology</w:t>
      </w:r>
      <w:r w:rsidRPr="008F52DE">
        <w:rPr>
          <w:rFonts w:asciiTheme="majorBidi" w:hAnsiTheme="majorBidi" w:cs="Times New Roman"/>
          <w:sz w:val="22"/>
          <w:szCs w:val="22"/>
        </w:rPr>
        <w:t>. University of Oxford Press, Oxford.</w:t>
      </w:r>
    </w:p>
    <w:p w14:paraId="4BF4BA1F" w14:textId="77777777" w:rsidR="00C84F4E" w:rsidRPr="000D6017" w:rsidRDefault="00C84F4E" w:rsidP="006C0B4E">
      <w:pPr>
        <w:tabs>
          <w:tab w:val="left" w:pos="375"/>
          <w:tab w:val="left" w:pos="658"/>
          <w:tab w:val="left" w:pos="2643"/>
          <w:tab w:val="right" w:pos="8029"/>
        </w:tabs>
        <w:bidi w:val="0"/>
        <w:ind w:left="284"/>
        <w:rPr>
          <w:rFonts w:asciiTheme="majorBidi" w:hAnsiTheme="majorBidi" w:cs="Times New Roman"/>
          <w:sz w:val="22"/>
          <w:szCs w:val="22"/>
        </w:rPr>
      </w:pPr>
    </w:p>
    <w:sectPr w:rsidR="00C84F4E" w:rsidRPr="000D6017">
      <w:headerReference w:type="default" r:id="rId10"/>
      <w:footerReference w:type="default" r:id="rId11"/>
      <w:endnotePr>
        <w:numFmt w:val="lowerLetter"/>
      </w:endnotePr>
      <w:pgSz w:w="11907" w:h="16840" w:code="9"/>
      <w:pgMar w:top="1418" w:right="1797" w:bottom="1440" w:left="1797" w:header="720" w:footer="567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ED4F" w14:textId="77777777" w:rsidR="00876EA0" w:rsidRDefault="00876EA0">
      <w:r>
        <w:separator/>
      </w:r>
    </w:p>
  </w:endnote>
  <w:endnote w:type="continuationSeparator" w:id="0">
    <w:p w14:paraId="6AF21E43" w14:textId="77777777" w:rsidR="00876EA0" w:rsidRDefault="0087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Yad-Brush">
    <w:altName w:val="Arial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ttman Adii">
    <w:altName w:val="Arial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9F32" w14:textId="77777777" w:rsidR="005C036F" w:rsidRPr="004C7023" w:rsidRDefault="005C036F" w:rsidP="00074A39">
    <w:pPr>
      <w:pStyle w:val="Footer"/>
      <w:bidi w:val="0"/>
      <w:ind w:right="360"/>
      <w:jc w:val="center"/>
      <w:rPr>
        <w:sz w:val="22"/>
        <w:szCs w:val="22"/>
        <w:rtl/>
      </w:rPr>
    </w:pPr>
    <w:r w:rsidRPr="004C7023">
      <w:rPr>
        <w:rStyle w:val="PageNumber"/>
        <w:rFonts w:cs="David"/>
        <w:sz w:val="22"/>
        <w:szCs w:val="22"/>
      </w:rPr>
      <w:fldChar w:fldCharType="begin"/>
    </w:r>
    <w:r w:rsidRPr="004C7023">
      <w:rPr>
        <w:rStyle w:val="PageNumber"/>
        <w:rFonts w:cs="David"/>
        <w:sz w:val="22"/>
        <w:szCs w:val="22"/>
      </w:rPr>
      <w:instrText xml:space="preserve"> PAGE </w:instrText>
    </w:r>
    <w:r w:rsidRPr="004C7023">
      <w:rPr>
        <w:rStyle w:val="PageNumber"/>
        <w:rFonts w:cs="David"/>
        <w:sz w:val="22"/>
        <w:szCs w:val="22"/>
      </w:rPr>
      <w:fldChar w:fldCharType="separate"/>
    </w:r>
    <w:r w:rsidR="006B5B0E">
      <w:rPr>
        <w:rStyle w:val="PageNumber"/>
        <w:rFonts w:cs="David"/>
        <w:noProof/>
        <w:sz w:val="22"/>
        <w:szCs w:val="22"/>
      </w:rPr>
      <w:t>2</w:t>
    </w:r>
    <w:r w:rsidRPr="004C7023">
      <w:rPr>
        <w:rStyle w:val="PageNumber"/>
        <w:rFonts w:cs="David"/>
        <w:sz w:val="22"/>
        <w:szCs w:val="22"/>
      </w:rPr>
      <w:fldChar w:fldCharType="end"/>
    </w:r>
    <w:r w:rsidRPr="004C7023">
      <w:rPr>
        <w:rStyle w:val="PageNumber"/>
        <w:rFonts w:cs="David"/>
        <w:sz w:val="22"/>
        <w:szCs w:val="22"/>
        <w:rtl/>
      </w:rPr>
      <w:t xml:space="preserve"> </w:t>
    </w:r>
    <w:r w:rsidR="00074A39">
      <w:rPr>
        <w:rStyle w:val="PageNumber"/>
        <w:rFonts w:cs="David"/>
        <w:sz w:val="22"/>
        <w:szCs w:val="22"/>
      </w:rPr>
      <w:t>of</w:t>
    </w:r>
    <w:r w:rsidRPr="004C7023">
      <w:rPr>
        <w:rStyle w:val="PageNumber"/>
        <w:rFonts w:cs="David"/>
        <w:sz w:val="22"/>
        <w:szCs w:val="22"/>
        <w:rtl/>
      </w:rPr>
      <w:t xml:space="preserve"> </w:t>
    </w:r>
    <w:r w:rsidRPr="004C7023">
      <w:rPr>
        <w:rStyle w:val="PageNumber"/>
        <w:rFonts w:cs="David"/>
        <w:sz w:val="22"/>
        <w:szCs w:val="22"/>
      </w:rPr>
      <w:fldChar w:fldCharType="begin"/>
    </w:r>
    <w:r w:rsidRPr="004C7023">
      <w:rPr>
        <w:rStyle w:val="PageNumber"/>
        <w:rFonts w:cs="David"/>
        <w:sz w:val="22"/>
        <w:szCs w:val="22"/>
      </w:rPr>
      <w:instrText xml:space="preserve"> NUMPAGES </w:instrText>
    </w:r>
    <w:r w:rsidRPr="004C7023">
      <w:rPr>
        <w:rStyle w:val="PageNumber"/>
        <w:rFonts w:cs="David"/>
        <w:sz w:val="22"/>
        <w:szCs w:val="22"/>
      </w:rPr>
      <w:fldChar w:fldCharType="separate"/>
    </w:r>
    <w:r w:rsidR="006B5B0E">
      <w:rPr>
        <w:rStyle w:val="PageNumber"/>
        <w:rFonts w:cs="David"/>
        <w:noProof/>
        <w:sz w:val="22"/>
        <w:szCs w:val="22"/>
      </w:rPr>
      <w:t>2</w:t>
    </w:r>
    <w:r w:rsidRPr="004C7023">
      <w:rPr>
        <w:rStyle w:val="PageNumber"/>
        <w:rFonts w:cs="Davi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58F4" w14:textId="77777777" w:rsidR="00876EA0" w:rsidRDefault="00876EA0">
      <w:r>
        <w:separator/>
      </w:r>
    </w:p>
  </w:footnote>
  <w:footnote w:type="continuationSeparator" w:id="0">
    <w:p w14:paraId="096C3AB1" w14:textId="77777777" w:rsidR="00876EA0" w:rsidRDefault="0087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49FB" w14:textId="77777777" w:rsidR="00245CE2" w:rsidRPr="00245CE2" w:rsidRDefault="00245CE2" w:rsidP="000D6017">
    <w:pPr>
      <w:pStyle w:val="Header"/>
      <w:bidi w:val="0"/>
      <w:ind w:hanging="1080"/>
      <w:jc w:val="both"/>
      <w:rPr>
        <w:color w:val="808080" w:themeColor="background1" w:themeShade="80"/>
      </w:rPr>
    </w:pPr>
    <w:r>
      <w:rPr>
        <w:color w:val="808080" w:themeColor="background1" w:themeShade="80"/>
      </w:rPr>
      <w:t>ALPERSON-AFIL</w:t>
    </w:r>
    <w:r>
      <w:rPr>
        <w:color w:val="808080" w:themeColor="background1" w:themeShade="80"/>
      </w:rPr>
      <w:tab/>
    </w:r>
    <w:r w:rsidR="000D6017">
      <w:rPr>
        <w:color w:val="7F7F7F" w:themeColor="text1" w:themeTint="80"/>
      </w:rPr>
      <w:t>LIST OF PUBLICATIONS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838"/>
    <w:multiLevelType w:val="multilevel"/>
    <w:tmpl w:val="0409001D"/>
    <w:numStyleLink w:val="1ai"/>
  </w:abstractNum>
  <w:abstractNum w:abstractNumId="1" w15:restartNumberingAfterBreak="0">
    <w:nsid w:val="1B9437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8B2861"/>
    <w:multiLevelType w:val="hybridMultilevel"/>
    <w:tmpl w:val="BF1AC1C4"/>
    <w:lvl w:ilvl="0" w:tplc="01F69F0C">
      <w:start w:val="1"/>
      <w:numFmt w:val="decimal"/>
      <w:lvlText w:val="%1.)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204536EA"/>
    <w:multiLevelType w:val="hybridMultilevel"/>
    <w:tmpl w:val="BF1AC1C4"/>
    <w:lvl w:ilvl="0" w:tplc="01F69F0C">
      <w:start w:val="1"/>
      <w:numFmt w:val="decimal"/>
      <w:lvlText w:val="%1.)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19E6471"/>
    <w:multiLevelType w:val="hybridMultilevel"/>
    <w:tmpl w:val="BF1AC1C4"/>
    <w:lvl w:ilvl="0" w:tplc="01F69F0C">
      <w:start w:val="1"/>
      <w:numFmt w:val="decimal"/>
      <w:lvlText w:val="%1.)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37F59E8"/>
    <w:multiLevelType w:val="hybridMultilevel"/>
    <w:tmpl w:val="68B41FFC"/>
    <w:lvl w:ilvl="0" w:tplc="4C7A4E0E">
      <w:start w:val="1"/>
      <w:numFmt w:val="decimal"/>
      <w:lvlText w:val="%1.)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0C1846"/>
    <w:multiLevelType w:val="hybridMultilevel"/>
    <w:tmpl w:val="BED451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u w:val="none"/>
      </w:rPr>
    </w:lvl>
    <w:lvl w:ilvl="1" w:tplc="FFFFFFFF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"/>
        <w:szCs w:val="2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"/>
        <w:szCs w:val="28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"/>
        <w:szCs w:val="28"/>
      </w:rPr>
    </w:lvl>
  </w:abstractNum>
  <w:abstractNum w:abstractNumId="7" w15:restartNumberingAfterBreak="0">
    <w:nsid w:val="5D8175D6"/>
    <w:multiLevelType w:val="hybridMultilevel"/>
    <w:tmpl w:val="59DEF2FA"/>
    <w:lvl w:ilvl="0" w:tplc="E5824DF6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 w15:restartNumberingAfterBreak="0">
    <w:nsid w:val="60555BF6"/>
    <w:multiLevelType w:val="hybridMultilevel"/>
    <w:tmpl w:val="8904F704"/>
    <w:lvl w:ilvl="0" w:tplc="FFFFFFFF">
      <w:start w:val="1"/>
      <w:numFmt w:val="hebrew2"/>
      <w:lvlText w:val="%1."/>
      <w:lvlJc w:val="center"/>
      <w:pPr>
        <w:tabs>
          <w:tab w:val="num" w:pos="1392"/>
        </w:tabs>
        <w:ind w:left="1392" w:hanging="360"/>
      </w:pPr>
      <w:rPr>
        <w:rFonts w:cs="David" w:hint="cs"/>
        <w:bCs w:val="0"/>
        <w:iCs w:val="0"/>
        <w:sz w:val="2"/>
        <w:szCs w:val="26"/>
      </w:rPr>
    </w:lvl>
    <w:lvl w:ilvl="1" w:tplc="FFFFFFFF">
      <w:start w:val="1"/>
      <w:numFmt w:val="lowerRoman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FFFFFFFF">
      <w:start w:val="1"/>
      <w:numFmt w:val="hebrew2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  <w:sz w:val="2"/>
        <w:szCs w:val="28"/>
      </w:rPr>
    </w:lvl>
    <w:lvl w:ilvl="3" w:tplc="FFFFFFFF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FFFFFFFF">
      <w:start w:val="1"/>
      <w:numFmt w:val="hebrew2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  <w:sz w:val="2"/>
        <w:szCs w:val="28"/>
      </w:rPr>
    </w:lvl>
    <w:lvl w:ilvl="6" w:tplc="FFFFFFFF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FFFFFFFF">
      <w:start w:val="1"/>
      <w:numFmt w:val="lowerRoman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FFFFFFFF">
      <w:start w:val="1"/>
      <w:numFmt w:val="hebrew2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  <w:sz w:val="2"/>
        <w:szCs w:val="28"/>
      </w:rPr>
    </w:lvl>
  </w:abstractNum>
  <w:abstractNum w:abstractNumId="9" w15:restartNumberingAfterBreak="0">
    <w:nsid w:val="63797353"/>
    <w:multiLevelType w:val="hybridMultilevel"/>
    <w:tmpl w:val="BF1AC1C4"/>
    <w:lvl w:ilvl="0" w:tplc="01F69F0C">
      <w:start w:val="1"/>
      <w:numFmt w:val="decimal"/>
      <w:lvlText w:val="%1.)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63B31C95"/>
    <w:multiLevelType w:val="hybridMultilevel"/>
    <w:tmpl w:val="B49A0A74"/>
    <w:lvl w:ilvl="0" w:tplc="9CC84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4AD04FE"/>
    <w:multiLevelType w:val="hybridMultilevel"/>
    <w:tmpl w:val="7694AC08"/>
    <w:lvl w:ilvl="0" w:tplc="FFFFFFFF">
      <w:start w:val="1"/>
      <w:numFmt w:val="hebrew2"/>
      <w:lvlText w:val="%1."/>
      <w:lvlJc w:val="center"/>
      <w:pPr>
        <w:tabs>
          <w:tab w:val="num" w:pos="1392"/>
        </w:tabs>
        <w:ind w:left="1392" w:hanging="360"/>
      </w:pPr>
      <w:rPr>
        <w:rFonts w:cs="David" w:hint="cs"/>
        <w:bCs w:val="0"/>
        <w:iCs w:val="0"/>
        <w:sz w:val="2"/>
        <w:szCs w:val="26"/>
      </w:rPr>
    </w:lvl>
    <w:lvl w:ilvl="1" w:tplc="FFFFFFFF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"/>
        <w:szCs w:val="2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"/>
        <w:szCs w:val="28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"/>
        <w:szCs w:val="28"/>
      </w:rPr>
    </w:lvl>
  </w:abstractNum>
  <w:abstractNum w:abstractNumId="12" w15:restartNumberingAfterBreak="0">
    <w:nsid w:val="78F236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79836B3F"/>
    <w:multiLevelType w:val="hybridMultilevel"/>
    <w:tmpl w:val="1C262956"/>
    <w:lvl w:ilvl="0" w:tplc="816EEA38">
      <w:start w:val="15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5520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63645026">
    <w:abstractNumId w:val="11"/>
  </w:num>
  <w:num w:numId="2" w16cid:durableId="198050280">
    <w:abstractNumId w:val="6"/>
  </w:num>
  <w:num w:numId="3" w16cid:durableId="739909525">
    <w:abstractNumId w:val="8"/>
  </w:num>
  <w:num w:numId="4" w16cid:durableId="1310743913">
    <w:abstractNumId w:val="2"/>
  </w:num>
  <w:num w:numId="5" w16cid:durableId="696395430">
    <w:abstractNumId w:val="7"/>
  </w:num>
  <w:num w:numId="6" w16cid:durableId="20782565">
    <w:abstractNumId w:val="5"/>
  </w:num>
  <w:num w:numId="7" w16cid:durableId="457383797">
    <w:abstractNumId w:val="13"/>
  </w:num>
  <w:num w:numId="8" w16cid:durableId="1019282194">
    <w:abstractNumId w:val="10"/>
  </w:num>
  <w:num w:numId="9" w16cid:durableId="343361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1576437">
    <w:abstractNumId w:val="12"/>
  </w:num>
  <w:num w:numId="11" w16cid:durableId="1844126359">
    <w:abstractNumId w:val="14"/>
  </w:num>
  <w:num w:numId="12" w16cid:durableId="381251388">
    <w:abstractNumId w:val="1"/>
  </w:num>
  <w:num w:numId="13" w16cid:durableId="1199704027">
    <w:abstractNumId w:val="3"/>
  </w:num>
  <w:num w:numId="14" w16cid:durableId="351493103">
    <w:abstractNumId w:val="9"/>
  </w:num>
  <w:num w:numId="15" w16cid:durableId="1306275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CB6"/>
    <w:rsid w:val="000237AD"/>
    <w:rsid w:val="000306D6"/>
    <w:rsid w:val="00043702"/>
    <w:rsid w:val="00074A39"/>
    <w:rsid w:val="000776E2"/>
    <w:rsid w:val="000946BD"/>
    <w:rsid w:val="000A4E32"/>
    <w:rsid w:val="000B33A2"/>
    <w:rsid w:val="000C3E10"/>
    <w:rsid w:val="000D6017"/>
    <w:rsid w:val="000E1E78"/>
    <w:rsid w:val="000E224B"/>
    <w:rsid w:val="000F76E7"/>
    <w:rsid w:val="001256D1"/>
    <w:rsid w:val="00125AEA"/>
    <w:rsid w:val="001519EB"/>
    <w:rsid w:val="00173937"/>
    <w:rsid w:val="001F211B"/>
    <w:rsid w:val="00245CE2"/>
    <w:rsid w:val="00253727"/>
    <w:rsid w:val="00277CA2"/>
    <w:rsid w:val="0034203C"/>
    <w:rsid w:val="00360523"/>
    <w:rsid w:val="003622B9"/>
    <w:rsid w:val="003C3991"/>
    <w:rsid w:val="003E0BDB"/>
    <w:rsid w:val="004572C9"/>
    <w:rsid w:val="00463ADD"/>
    <w:rsid w:val="00473CCA"/>
    <w:rsid w:val="00484115"/>
    <w:rsid w:val="004924AD"/>
    <w:rsid w:val="004A0A3A"/>
    <w:rsid w:val="004A6C22"/>
    <w:rsid w:val="004B5382"/>
    <w:rsid w:val="004C525E"/>
    <w:rsid w:val="004C7023"/>
    <w:rsid w:val="004D2ACB"/>
    <w:rsid w:val="004F22B3"/>
    <w:rsid w:val="004F4A5E"/>
    <w:rsid w:val="005A710A"/>
    <w:rsid w:val="005C036F"/>
    <w:rsid w:val="005C75ED"/>
    <w:rsid w:val="005F6724"/>
    <w:rsid w:val="00603528"/>
    <w:rsid w:val="006219AD"/>
    <w:rsid w:val="0062740E"/>
    <w:rsid w:val="0066148C"/>
    <w:rsid w:val="00663220"/>
    <w:rsid w:val="006B5B0E"/>
    <w:rsid w:val="006C0B4E"/>
    <w:rsid w:val="006E7C74"/>
    <w:rsid w:val="0072069F"/>
    <w:rsid w:val="007227AB"/>
    <w:rsid w:val="0073007F"/>
    <w:rsid w:val="00756E84"/>
    <w:rsid w:val="007636DE"/>
    <w:rsid w:val="00780530"/>
    <w:rsid w:val="007B0BBE"/>
    <w:rsid w:val="007C4955"/>
    <w:rsid w:val="0080785F"/>
    <w:rsid w:val="00811EA3"/>
    <w:rsid w:val="00813EDC"/>
    <w:rsid w:val="00851811"/>
    <w:rsid w:val="008520E4"/>
    <w:rsid w:val="0086217A"/>
    <w:rsid w:val="00870A86"/>
    <w:rsid w:val="00876EA0"/>
    <w:rsid w:val="00877D05"/>
    <w:rsid w:val="008811ED"/>
    <w:rsid w:val="0089639D"/>
    <w:rsid w:val="008F1483"/>
    <w:rsid w:val="008F52DE"/>
    <w:rsid w:val="00915F2D"/>
    <w:rsid w:val="00955B8A"/>
    <w:rsid w:val="00956F65"/>
    <w:rsid w:val="0096145D"/>
    <w:rsid w:val="00982A45"/>
    <w:rsid w:val="00A0215A"/>
    <w:rsid w:val="00A41C79"/>
    <w:rsid w:val="00A47D86"/>
    <w:rsid w:val="00A6018B"/>
    <w:rsid w:val="00AA77AE"/>
    <w:rsid w:val="00AC4712"/>
    <w:rsid w:val="00AF261F"/>
    <w:rsid w:val="00B20AC8"/>
    <w:rsid w:val="00B4399E"/>
    <w:rsid w:val="00B765D5"/>
    <w:rsid w:val="00BB0F63"/>
    <w:rsid w:val="00BB71FB"/>
    <w:rsid w:val="00BD2764"/>
    <w:rsid w:val="00BD37F6"/>
    <w:rsid w:val="00C22441"/>
    <w:rsid w:val="00C22F0D"/>
    <w:rsid w:val="00C24C6D"/>
    <w:rsid w:val="00C42212"/>
    <w:rsid w:val="00C44CB6"/>
    <w:rsid w:val="00C52439"/>
    <w:rsid w:val="00C845B8"/>
    <w:rsid w:val="00C84F4E"/>
    <w:rsid w:val="00C91EB4"/>
    <w:rsid w:val="00CA1967"/>
    <w:rsid w:val="00CB2883"/>
    <w:rsid w:val="00CB66BD"/>
    <w:rsid w:val="00CE5AD3"/>
    <w:rsid w:val="00CF6BE4"/>
    <w:rsid w:val="00D8355A"/>
    <w:rsid w:val="00DA0904"/>
    <w:rsid w:val="00DA6B15"/>
    <w:rsid w:val="00DC6C08"/>
    <w:rsid w:val="00DD1883"/>
    <w:rsid w:val="00DF09EF"/>
    <w:rsid w:val="00DF6CFC"/>
    <w:rsid w:val="00E03500"/>
    <w:rsid w:val="00E54750"/>
    <w:rsid w:val="00E55D17"/>
    <w:rsid w:val="00E764CE"/>
    <w:rsid w:val="00EB0E68"/>
    <w:rsid w:val="00EB3D99"/>
    <w:rsid w:val="00EB4D09"/>
    <w:rsid w:val="00ED3349"/>
    <w:rsid w:val="00EF1784"/>
    <w:rsid w:val="00EF33E4"/>
    <w:rsid w:val="00EF386F"/>
    <w:rsid w:val="00F01EA7"/>
    <w:rsid w:val="00F4224E"/>
    <w:rsid w:val="00F479E4"/>
    <w:rsid w:val="00F72120"/>
    <w:rsid w:val="00F8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2BF5B"/>
  <w14:defaultImageDpi w14:val="0"/>
  <w15:docId w15:val="{7F447FCB-0A0E-48D2-96FB-A66D2EC5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0" w:line="240" w:lineRule="auto"/>
    </w:pPr>
    <w:rPr>
      <w:rFonts w:cs="David"/>
      <w:sz w:val="20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cs="Guttman Yad-Brush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15A"/>
    <w:pPr>
      <w:keepNext/>
      <w:spacing w:before="240" w:after="60"/>
      <w:outlineLvl w:val="3"/>
    </w:pPr>
    <w:rPr>
      <w:rFonts w:asciiTheme="minorHAnsi" w:eastAsiaTheme="minorEastAsia" w:hAnsiTheme="minorHAnsi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CE2"/>
    <w:pPr>
      <w:spacing w:before="240" w:after="60"/>
      <w:outlineLvl w:val="4"/>
    </w:pPr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he-IL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0215A"/>
    <w:rPr>
      <w:rFonts w:asciiTheme="minorHAnsi" w:eastAsiaTheme="minorEastAsia" w:hAnsiTheme="minorHAnsi" w:cs="Arial"/>
      <w:b/>
      <w:bCs/>
      <w:sz w:val="28"/>
      <w:szCs w:val="28"/>
      <w:lang w:val="x-none" w:eastAsia="he-IL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45CE2"/>
    <w:rPr>
      <w:rFonts w:asciiTheme="minorHAnsi" w:eastAsiaTheme="minorEastAsia" w:hAnsiTheme="minorHAnsi" w:cs="Arial"/>
      <w:b/>
      <w:bCs/>
      <w:i/>
      <w:iCs/>
      <w:sz w:val="26"/>
      <w:szCs w:val="26"/>
      <w:lang w:val="x-none" w:eastAsia="he-IL"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David"/>
      <w:sz w:val="28"/>
      <w:szCs w:val="28"/>
      <w:lang w:val="x-none" w:eastAsia="he-IL" w:bidi="he-I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David"/>
      <w:sz w:val="28"/>
      <w:szCs w:val="28"/>
      <w:lang w:val="x-none" w:eastAsia="he-IL" w:bidi="he-I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5052"/>
      </w:tabs>
      <w:spacing w:line="360" w:lineRule="auto"/>
      <w:jc w:val="center"/>
    </w:pPr>
    <w:rPr>
      <w:rFonts w:cs="Guttman Adii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he-IL" w:bidi="he-IL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375"/>
        <w:tab w:val="right" w:pos="8029"/>
      </w:tabs>
      <w:ind w:left="233" w:hanging="233"/>
    </w:pPr>
    <w:rPr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David"/>
      <w:sz w:val="28"/>
      <w:szCs w:val="28"/>
      <w:lang w:val="x-none" w:eastAsia="he-IL" w:bidi="he-IL"/>
    </w:rPr>
  </w:style>
  <w:style w:type="paragraph" w:styleId="ListParagraph">
    <w:name w:val="List Paragraph"/>
    <w:basedOn w:val="Normal"/>
    <w:uiPriority w:val="34"/>
    <w:qFormat/>
    <w:rsid w:val="008520E4"/>
    <w:pPr>
      <w:ind w:left="720"/>
    </w:pPr>
  </w:style>
  <w:style w:type="character" w:styleId="Hyperlink">
    <w:name w:val="Hyperlink"/>
    <w:basedOn w:val="DefaultParagraphFont"/>
    <w:uiPriority w:val="99"/>
    <w:rsid w:val="008520E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20E4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26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F261F"/>
    <w:rPr>
      <w:rFonts w:cs="David"/>
      <w:sz w:val="16"/>
      <w:szCs w:val="16"/>
      <w:lang w:val="x-none" w:eastAsia="he-IL" w:bidi="he-IL"/>
    </w:rPr>
  </w:style>
  <w:style w:type="character" w:customStyle="1" w:styleId="sectionChar">
    <w:name w:val="section Char"/>
    <w:link w:val="section"/>
    <w:locked/>
    <w:rsid w:val="00245CE2"/>
    <w:rPr>
      <w:sz w:val="24"/>
    </w:rPr>
  </w:style>
  <w:style w:type="paragraph" w:customStyle="1" w:styleId="section">
    <w:name w:val="section"/>
    <w:basedOn w:val="Normal"/>
    <w:link w:val="sectionChar"/>
    <w:rsid w:val="00245CE2"/>
    <w:pPr>
      <w:keepLines/>
      <w:tabs>
        <w:tab w:val="left" w:pos="0"/>
        <w:tab w:val="left" w:pos="284"/>
      </w:tabs>
      <w:autoSpaceDE w:val="0"/>
      <w:autoSpaceDN w:val="0"/>
      <w:bidi w:val="0"/>
      <w:adjustRightInd w:val="0"/>
      <w:ind w:left="284" w:right="284" w:hanging="284"/>
      <w:jc w:val="both"/>
    </w:pPr>
    <w:rPr>
      <w:rFonts w:cs="Times New Roman"/>
      <w:sz w:val="24"/>
      <w:szCs w:val="24"/>
      <w:lang w:eastAsia="en-US"/>
    </w:rPr>
  </w:style>
  <w:style w:type="numbering" w:styleId="1ai">
    <w:name w:val="Outline List 1"/>
    <w:basedOn w:val="NoList"/>
    <w:uiPriority w:val="99"/>
    <w:semiHidden/>
    <w:unhideWhenUsed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eoanthro.org/journal/content/PA200700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leoanthro.org/journal/content/PA2010007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BEBB-4583-442E-8178-3A25E9E9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טופס הצעה למינוי חדש</vt:lpstr>
    </vt:vector>
  </TitlesOfParts>
  <Company>bar-ilan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הצעה למינוי חדש</dc:title>
  <dc:creator>לשכת הרקטור</dc:creator>
  <cp:lastModifiedBy>Nira Alperson-Afil</cp:lastModifiedBy>
  <cp:revision>18</cp:revision>
  <cp:lastPrinted>2013-04-10T08:54:00Z</cp:lastPrinted>
  <dcterms:created xsi:type="dcterms:W3CDTF">2014-01-14T10:54:00Z</dcterms:created>
  <dcterms:modified xsi:type="dcterms:W3CDTF">2023-01-11T12:56:00Z</dcterms:modified>
</cp:coreProperties>
</file>