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D4" w:rsidRDefault="000F4BD4" w:rsidP="000F4BD4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F51463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6295" cy="64452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 w:rsidR="00BD0A50">
        <w:rPr>
          <w:rFonts w:ascii="Arial" w:hAnsi="Arial" w:cs="Tahoma"/>
          <w:bCs/>
          <w:rtl/>
        </w:rPr>
        <w:t xml:space="preserve">               </w:t>
      </w:r>
      <w:r>
        <w:rPr>
          <w:rFonts w:ascii="Arial" w:hAnsi="Arial" w:cs="Tahoma"/>
          <w:bCs/>
          <w:rtl/>
        </w:rPr>
        <w:t xml:space="preserve">      </w:t>
      </w:r>
      <w:r w:rsidRPr="002C2943">
        <w:rPr>
          <w:rFonts w:ascii="Arial" w:hAnsi="Arial" w:cs="Tahoma"/>
          <w:bCs/>
          <w:rtl/>
        </w:rPr>
        <w:t>תאריך עדכון:</w:t>
      </w:r>
      <w:r w:rsidR="00BD0A50">
        <w:rPr>
          <w:rFonts w:ascii="Arial" w:hAnsi="Arial" w:cs="Tahoma" w:hint="cs"/>
          <w:bCs/>
          <w:rtl/>
        </w:rPr>
        <w:t xml:space="preserve"> </w:t>
      </w:r>
      <w:r w:rsidR="00BD0A50">
        <w:rPr>
          <w:rFonts w:ascii="Arial" w:hAnsi="Arial" w:cs="Tahoma" w:hint="eastAsia"/>
          <w:bCs/>
          <w:rtl/>
        </w:rPr>
        <w:t>‏</w:t>
      </w:r>
      <w:r w:rsidR="00BD0A50">
        <w:rPr>
          <w:rFonts w:ascii="Arial" w:hAnsi="Arial" w:cs="Tahoma"/>
          <w:bCs/>
          <w:rtl/>
        </w:rPr>
        <w:t>0</w:t>
      </w:r>
      <w:r w:rsidR="00B04620">
        <w:rPr>
          <w:rFonts w:ascii="Arial" w:hAnsi="Arial" w:cs="Tahoma" w:hint="cs"/>
          <w:bCs/>
          <w:rtl/>
        </w:rPr>
        <w:t>1</w:t>
      </w:r>
      <w:r w:rsidR="00BD0A50">
        <w:rPr>
          <w:rFonts w:ascii="Arial" w:hAnsi="Arial" w:cs="Tahoma"/>
          <w:bCs/>
          <w:rtl/>
        </w:rPr>
        <w:t>/0</w:t>
      </w:r>
      <w:r w:rsidR="00B04620">
        <w:rPr>
          <w:rFonts w:ascii="Arial" w:hAnsi="Arial" w:cs="Tahoma" w:hint="cs"/>
          <w:bCs/>
          <w:rtl/>
        </w:rPr>
        <w:t>5</w:t>
      </w:r>
      <w:r w:rsidR="00BD0A50">
        <w:rPr>
          <w:rFonts w:ascii="Arial" w:hAnsi="Arial" w:cs="Tahoma"/>
          <w:bCs/>
          <w:rtl/>
        </w:rPr>
        <w:t>/1</w:t>
      </w:r>
      <w:r w:rsidR="00B04620">
        <w:rPr>
          <w:rFonts w:ascii="Arial" w:hAnsi="Arial" w:cs="Tahoma" w:hint="cs"/>
          <w:bCs/>
          <w:rtl/>
        </w:rPr>
        <w:t>8</w:t>
      </w:r>
    </w:p>
    <w:p w:rsidR="000F4BD4" w:rsidRDefault="000F4BD4" w:rsidP="000F4BD4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A3504D">
        <w:rPr>
          <w:rFonts w:cs="David"/>
          <w:b/>
          <w:bCs/>
          <w:sz w:val="44"/>
          <w:szCs w:val="44"/>
          <w:rtl/>
        </w:rPr>
        <w:br/>
      </w:r>
      <w:r w:rsidR="00A3504D" w:rsidRPr="00A3504D">
        <w:rPr>
          <w:rFonts w:cs="David"/>
          <w:b/>
          <w:bCs/>
          <w:sz w:val="44"/>
          <w:szCs w:val="44"/>
          <w:rtl/>
        </w:rPr>
        <w:t>חברות מסורתיות בארץ ישראל וברחבי העולם: ציידים, לקטים וחקלאים</w:t>
      </w:r>
    </w:p>
    <w:p w:rsidR="007F65EF" w:rsidRPr="007F65EF" w:rsidRDefault="007F65EF" w:rsidP="000F4BD4">
      <w:pPr>
        <w:spacing w:line="360" w:lineRule="auto"/>
        <w:jc w:val="center"/>
        <w:rPr>
          <w:rFonts w:cs="David"/>
          <w:b/>
          <w:bCs/>
          <w:sz w:val="44"/>
          <w:szCs w:val="44"/>
          <w:rtl/>
        </w:rPr>
      </w:pPr>
      <w:r w:rsidRPr="007F65EF">
        <w:rPr>
          <w:rFonts w:cs="David"/>
          <w:b/>
          <w:bCs/>
          <w:sz w:val="44"/>
          <w:szCs w:val="44"/>
          <w:rtl/>
        </w:rPr>
        <w:t>16</w:t>
      </w:r>
      <w:r w:rsidRPr="007F65EF">
        <w:rPr>
          <w:rFonts w:cs="David" w:hint="cs"/>
          <w:b/>
          <w:bCs/>
          <w:sz w:val="44"/>
          <w:szCs w:val="44"/>
          <w:rtl/>
        </w:rPr>
        <w:t>-</w:t>
      </w:r>
      <w:r w:rsidRPr="007F65EF">
        <w:rPr>
          <w:rFonts w:cs="David"/>
          <w:b/>
          <w:bCs/>
          <w:sz w:val="44"/>
          <w:szCs w:val="44"/>
          <w:rtl/>
        </w:rPr>
        <w:t>536</w:t>
      </w:r>
    </w:p>
    <w:p w:rsidR="007F65EF" w:rsidRPr="007F65EF" w:rsidRDefault="007F65EF" w:rsidP="000F4BD4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7F65EF">
        <w:rPr>
          <w:rFonts w:cs="David" w:hint="cs"/>
          <w:b/>
          <w:bCs/>
          <w:sz w:val="28"/>
          <w:szCs w:val="28"/>
          <w:rtl/>
        </w:rPr>
        <w:t xml:space="preserve">מרצה: </w:t>
      </w:r>
      <w:r w:rsidRPr="007F65EF">
        <w:rPr>
          <w:rFonts w:cs="David" w:hint="cs"/>
          <w:sz w:val="28"/>
          <w:szCs w:val="28"/>
          <w:rtl/>
        </w:rPr>
        <w:t>פרופ' אהוד ויי</w:t>
      </w:r>
      <w:bookmarkStart w:id="0" w:name="_GoBack"/>
      <w:bookmarkEnd w:id="0"/>
      <w:r w:rsidRPr="007F65EF">
        <w:rPr>
          <w:rFonts w:cs="David" w:hint="cs"/>
          <w:sz w:val="28"/>
          <w:szCs w:val="28"/>
          <w:rtl/>
        </w:rPr>
        <w:t>ס</w:t>
      </w:r>
    </w:p>
    <w:p w:rsidR="000F4BD4" w:rsidRPr="002E026B" w:rsidRDefault="000F4BD4" w:rsidP="007F65EF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7F65EF">
        <w:rPr>
          <w:rFonts w:ascii="Arial" w:hAnsi="Arial" w:cs="Arial" w:hint="cs"/>
          <w:rtl/>
        </w:rPr>
        <w:t>הרצאה</w:t>
      </w:r>
    </w:p>
    <w:p w:rsidR="000F4BD4" w:rsidRPr="002E026B" w:rsidRDefault="000F4BD4" w:rsidP="00305D62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305D62" w:rsidRPr="00305D62">
        <w:rPr>
          <w:rFonts w:ascii="Arial" w:hAnsi="Arial" w:cs="Arial" w:hint="cs"/>
          <w:b/>
          <w:rtl/>
        </w:rPr>
        <w:t>תש"</w:t>
      </w:r>
      <w:r w:rsidR="00F51463">
        <w:rPr>
          <w:rFonts w:ascii="Arial" w:hAnsi="Arial" w:cs="Arial" w:hint="cs"/>
          <w:b/>
          <w:rtl/>
        </w:rPr>
        <w:t>פ</w:t>
      </w:r>
      <w:r w:rsidR="00305D62" w:rsidRPr="00305D62">
        <w:rPr>
          <w:rFonts w:ascii="Arial" w:hAnsi="Arial" w:cs="Arial"/>
          <w:b/>
          <w:rtl/>
        </w:rPr>
        <w:t xml:space="preserve">              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</w:t>
      </w:r>
      <w:r w:rsidR="00084404">
        <w:rPr>
          <w:rFonts w:ascii="Arial" w:hAnsi="Arial" w:cs="Arial" w:hint="cs"/>
          <w:rtl/>
        </w:rPr>
        <w:t>א'</w:t>
      </w:r>
      <w:r>
        <w:rPr>
          <w:rFonts w:ascii="Arial" w:hAnsi="Arial" w:cs="Arial"/>
          <w:rtl/>
        </w:rPr>
        <w:t xml:space="preserve">           </w:t>
      </w:r>
      <w:r w:rsidRPr="002E026B">
        <w:rPr>
          <w:rFonts w:ascii="Arial" w:hAnsi="Arial" w:cs="Arial"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</w:t>
      </w:r>
      <w:r w:rsidR="00A3504D">
        <w:rPr>
          <w:rFonts w:ascii="Arial" w:hAnsi="Arial" w:cs="Arial" w:hint="cs"/>
          <w:rtl/>
        </w:rPr>
        <w:t>1</w:t>
      </w:r>
      <w:r w:rsidR="002D5FFC">
        <w:rPr>
          <w:rFonts w:ascii="Arial" w:hAnsi="Arial" w:cs="Arial" w:hint="cs"/>
          <w:rtl/>
        </w:rPr>
        <w:t xml:space="preserve"> ש"ש</w:t>
      </w:r>
      <w:r w:rsidRPr="002E026B">
        <w:rPr>
          <w:rFonts w:ascii="Arial" w:hAnsi="Arial" w:cs="Arial"/>
          <w:rtl/>
        </w:rPr>
        <w:t xml:space="preserve"> </w:t>
      </w:r>
    </w:p>
    <w:p w:rsidR="000F4BD4" w:rsidRPr="008E696B" w:rsidRDefault="000F4BD4" w:rsidP="000F4BD4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0F4BD4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Pr="00421576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AC5814" w:rsidRPr="007E1DFD" w:rsidRDefault="00084404" w:rsidP="00E67242">
      <w:pPr>
        <w:ind w:left="26"/>
        <w:rPr>
          <w:rFonts w:ascii="Arial" w:hAnsi="Arial" w:cs="Arial"/>
          <w:rtl/>
        </w:rPr>
      </w:pPr>
      <w:r w:rsidRPr="007E1DFD">
        <w:rPr>
          <w:rFonts w:ascii="Arial" w:hAnsi="Arial" w:cs="Arial" w:hint="cs"/>
          <w:rtl/>
        </w:rPr>
        <w:t xml:space="preserve">הקורס יעסוק בנושאים בסיסיים בהכרת </w:t>
      </w:r>
      <w:r w:rsidR="00EF1584">
        <w:rPr>
          <w:rFonts w:ascii="Arial" w:hAnsi="Arial" w:cs="Arial" w:hint="cs"/>
          <w:rtl/>
        </w:rPr>
        <w:t>חברות מסורתיות</w:t>
      </w:r>
      <w:r w:rsidR="003D17D0">
        <w:rPr>
          <w:rFonts w:ascii="Arial" w:hAnsi="Arial" w:cs="Arial" w:hint="cs"/>
          <w:rtl/>
        </w:rPr>
        <w:t xml:space="preserve"> בישראל ובעולם. </w:t>
      </w:r>
      <w:r w:rsidR="00E67242">
        <w:rPr>
          <w:rFonts w:ascii="Arial" w:hAnsi="Arial" w:cs="Arial" w:hint="cs"/>
          <w:rtl/>
        </w:rPr>
        <w:t xml:space="preserve">מטרת הקורס היא </w:t>
      </w:r>
      <w:r w:rsidR="00AC5814" w:rsidRPr="00E67242">
        <w:rPr>
          <w:rFonts w:ascii="Arial" w:hAnsi="Arial" w:cs="Arial" w:hint="cs"/>
          <w:rtl/>
        </w:rPr>
        <w:t>להכיר בכך שכאשר אנחנו חוקרים חברות קדומות, ארכיאולוגיות או ה</w:t>
      </w:r>
      <w:r w:rsidR="00E67242">
        <w:rPr>
          <w:rFonts w:ascii="Arial" w:hAnsi="Arial" w:cs="Arial" w:hint="cs"/>
          <w:rtl/>
        </w:rPr>
        <w:t>י</w:t>
      </w:r>
      <w:r w:rsidR="00AC5814" w:rsidRPr="00E67242">
        <w:rPr>
          <w:rFonts w:ascii="Arial" w:hAnsi="Arial" w:cs="Arial" w:hint="cs"/>
          <w:rtl/>
        </w:rPr>
        <w:t>סטוריות, יש להם ידע ומסורות שלא מוכרות על ידינו. לכן, יש חשיבות להכיר כדי לנתח ולפרש ממצא ארכיאולוגי או ה</w:t>
      </w:r>
      <w:r w:rsidR="00E67242" w:rsidRPr="00E67242">
        <w:rPr>
          <w:rFonts w:ascii="Arial" w:hAnsi="Arial" w:cs="Arial" w:hint="cs"/>
          <w:rtl/>
        </w:rPr>
        <w:t>י</w:t>
      </w:r>
      <w:r w:rsidR="00AC5814" w:rsidRPr="00E67242">
        <w:rPr>
          <w:rFonts w:ascii="Arial" w:hAnsi="Arial" w:cs="Arial" w:hint="cs"/>
          <w:rtl/>
        </w:rPr>
        <w:t>סטורי.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F4BD4" w:rsidRDefault="000F4BD4" w:rsidP="000F4BD4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 xml:space="preserve">רציונל, </w:t>
      </w:r>
      <w:r w:rsidRPr="002E026B">
        <w:rPr>
          <w:rFonts w:ascii="Arial" w:hAnsi="Arial" w:cs="Arial"/>
          <w:rtl/>
        </w:rPr>
        <w:t>נושאים)</w:t>
      </w:r>
    </w:p>
    <w:p w:rsidR="00084404" w:rsidRPr="007E1DFD" w:rsidRDefault="00EF36B5" w:rsidP="007E1DFD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בארץ ישראל נעלמו קבוצות של ציידים לקטים זה מכבר ואין </w:t>
      </w:r>
      <w:r w:rsidR="001018F9">
        <w:rPr>
          <w:rFonts w:ascii="Arial" w:hAnsi="Arial" w:cs="Arial" w:hint="cs"/>
          <w:rtl/>
        </w:rPr>
        <w:t xml:space="preserve">כל עדויות היסטוריות עליהם, אולם חברות של חקלאות מסורתית </w:t>
      </w:r>
      <w:r w:rsidR="00387753">
        <w:rPr>
          <w:rFonts w:ascii="Arial" w:hAnsi="Arial" w:cs="Arial" w:hint="cs"/>
          <w:rtl/>
        </w:rPr>
        <w:t xml:space="preserve">המשיכו כמעט עד ימינו </w:t>
      </w:r>
      <w:r w:rsidR="00C210B0">
        <w:rPr>
          <w:rFonts w:ascii="Arial" w:hAnsi="Arial" w:cs="Arial" w:hint="cs"/>
          <w:rtl/>
        </w:rPr>
        <w:t xml:space="preserve">ופה ושם יש חברות שעדיין משתמשות בטכניקות חקלאיות קדומות. הקורס ייתן בסיס מחקרי בתחום </w:t>
      </w:r>
      <w:r w:rsidR="00AC25A7">
        <w:rPr>
          <w:rFonts w:ascii="Arial" w:hAnsi="Arial" w:cs="Arial" w:hint="cs"/>
          <w:rtl/>
        </w:rPr>
        <w:t xml:space="preserve">חקר החברות המסורתיות וימשיך בהכרת חברות כאלו מהארץ ומהעולם. נעסוק במספר חברות של ציידים לקטים </w:t>
      </w:r>
      <w:r w:rsidR="00AC25A7">
        <w:rPr>
          <w:rFonts w:ascii="Arial" w:hAnsi="Arial" w:cs="Arial"/>
          <w:rtl/>
        </w:rPr>
        <w:t>–</w:t>
      </w:r>
      <w:r w:rsidR="00AC25A7">
        <w:rPr>
          <w:rFonts w:ascii="Arial" w:hAnsi="Arial" w:cs="Arial" w:hint="cs"/>
          <w:rtl/>
        </w:rPr>
        <w:t xml:space="preserve"> איניוט (אסקימוסים) מהקוטב הצפוני, קונג-סן </w:t>
      </w:r>
      <w:r w:rsidR="00C90AB7">
        <w:rPr>
          <w:rFonts w:ascii="Arial" w:hAnsi="Arial" w:cs="Arial" w:hint="cs"/>
          <w:rtl/>
        </w:rPr>
        <w:t xml:space="preserve">(בושמנים) </w:t>
      </w:r>
      <w:r w:rsidR="00AC25A7">
        <w:rPr>
          <w:rFonts w:ascii="Arial" w:hAnsi="Arial" w:cs="Arial" w:hint="cs"/>
          <w:rtl/>
        </w:rPr>
        <w:t xml:space="preserve">ממדבר קלהרי, ושבטי עמק האומו באתיופיה. </w:t>
      </w: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84404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084404">
        <w:rPr>
          <w:rFonts w:ascii="Arial" w:hAnsi="Arial" w:cs="Arial" w:hint="cs"/>
          <w:rtl/>
        </w:rPr>
        <w:t xml:space="preserve">הרצאה פרונטאלית </w:t>
      </w:r>
      <w:r w:rsidR="00E67242">
        <w:rPr>
          <w:rFonts w:ascii="Arial" w:hAnsi="Arial" w:cs="Arial" w:hint="cs"/>
          <w:rtl/>
        </w:rPr>
        <w:t xml:space="preserve">שבה נעסוק בקבוצות שונות, </w:t>
      </w:r>
      <w:r w:rsidR="000C3C08">
        <w:rPr>
          <w:rFonts w:ascii="Arial" w:hAnsi="Arial" w:cs="Arial" w:hint="cs"/>
          <w:rtl/>
        </w:rPr>
        <w:t xml:space="preserve">ככל הניתן </w:t>
      </w:r>
      <w:r w:rsidR="000C3C08">
        <w:rPr>
          <w:rFonts w:ascii="Arial" w:hAnsi="Arial" w:cs="Arial"/>
          <w:rtl/>
        </w:rPr>
        <w:t>–</w:t>
      </w:r>
      <w:r w:rsidR="000C3C08">
        <w:rPr>
          <w:rFonts w:ascii="Arial" w:hAnsi="Arial" w:cs="Arial" w:hint="cs"/>
          <w:rtl/>
        </w:rPr>
        <w:t xml:space="preserve"> נצפה בקטעים נבחרים מסרטים דוקומנטריי</w:t>
      </w:r>
      <w:r w:rsidR="000C3C08">
        <w:rPr>
          <w:rFonts w:ascii="Arial" w:hAnsi="Arial" w:cs="Arial" w:hint="eastAsia"/>
          <w:rtl/>
        </w:rPr>
        <w:t>ם</w:t>
      </w:r>
      <w:r w:rsidR="000C3C08">
        <w:rPr>
          <w:rFonts w:ascii="Arial" w:hAnsi="Arial" w:cs="Arial" w:hint="cs"/>
          <w:rtl/>
        </w:rPr>
        <w:t>-מחקריים לגבי כל קבוצה.</w:t>
      </w:r>
    </w:p>
    <w:p w:rsidR="00942FC9" w:rsidRDefault="00942FC9" w:rsidP="00084404">
      <w:pPr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F4BD4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rtl/>
        </w:rPr>
        <w:t>(רשימה או טבלה כדוגמת המצ"ב)</w:t>
      </w:r>
    </w:p>
    <w:p w:rsidR="000F4BD4" w:rsidRPr="00960575" w:rsidRDefault="000F4BD4" w:rsidP="000F4BD4">
      <w:pPr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111"/>
        <w:gridCol w:w="2777"/>
        <w:gridCol w:w="1168"/>
      </w:tblGrid>
      <w:tr w:rsidR="000F4BD4" w:rsidRPr="00311B0F" w:rsidTr="001C6E07">
        <w:tc>
          <w:tcPr>
            <w:tcW w:w="1386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>מס' השיעור</w:t>
            </w:r>
          </w:p>
        </w:tc>
        <w:tc>
          <w:tcPr>
            <w:tcW w:w="2111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>נושא השיעור</w:t>
            </w:r>
          </w:p>
        </w:tc>
        <w:tc>
          <w:tcPr>
            <w:tcW w:w="2777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>קריאה נדרשת</w:t>
            </w:r>
          </w:p>
        </w:tc>
        <w:tc>
          <w:tcPr>
            <w:tcW w:w="1168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  <w:b/>
                <w:bCs/>
              </w:rPr>
            </w:pPr>
            <w:r w:rsidRPr="00311B0F">
              <w:rPr>
                <w:rFonts w:ascii="Arial" w:hAnsi="Arial" w:cs="Arial"/>
                <w:b/>
                <w:bCs/>
                <w:rtl/>
              </w:rPr>
              <w:t xml:space="preserve"> הערות</w:t>
            </w:r>
          </w:p>
        </w:tc>
      </w:tr>
      <w:tr w:rsidR="000F4BD4" w:rsidRPr="00311B0F" w:rsidTr="001C6E07">
        <w:tc>
          <w:tcPr>
            <w:tcW w:w="1386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2111" w:type="dxa"/>
          </w:tcPr>
          <w:p w:rsidR="000F4BD4" w:rsidRPr="00311B0F" w:rsidRDefault="00235A7B" w:rsidP="00311B0F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הקדמה ומבואות</w:t>
            </w:r>
            <w:r w:rsidR="00CE5603">
              <w:rPr>
                <w:rFonts w:ascii="Arial" w:hAnsi="Arial" w:cs="Arial" w:hint="cs"/>
                <w:rtl/>
              </w:rPr>
              <w:t>,</w:t>
            </w:r>
            <w:r w:rsidR="00CE5603" w:rsidRPr="000F5686">
              <w:rPr>
                <w:rFonts w:ascii="Arial" w:hAnsi="Arial" w:cs="Arial"/>
                <w:rtl/>
              </w:rPr>
              <w:t xml:space="preserve"> כיווני מחקר באתנוגרפיה</w:t>
            </w:r>
          </w:p>
        </w:tc>
        <w:tc>
          <w:tcPr>
            <w:tcW w:w="2777" w:type="dxa"/>
          </w:tcPr>
          <w:p w:rsidR="000F4BD4" w:rsidRPr="00311B0F" w:rsidRDefault="001C6E07" w:rsidP="00311B0F">
            <w:pPr>
              <w:ind w:left="26"/>
              <w:rPr>
                <w:rFonts w:ascii="Arial" w:hAnsi="Arial" w:cs="Arial"/>
              </w:rPr>
            </w:pPr>
            <w:r>
              <w:rPr>
                <w:rFonts w:cs="David"/>
                <w:rtl/>
              </w:rPr>
              <w:t>הבילנד</w:t>
            </w:r>
            <w:r>
              <w:rPr>
                <w:rFonts w:ascii="Arial" w:hAnsi="Arial" w:cs="Arial" w:hint="cs"/>
                <w:rtl/>
              </w:rPr>
              <w:t xml:space="preserve"> 1999, </w:t>
            </w:r>
            <w:r>
              <w:rPr>
                <w:rFonts w:ascii="Arial" w:hAnsi="Arial" w:cs="Arial"/>
              </w:rPr>
              <w:t>Kelly 1995</w:t>
            </w:r>
          </w:p>
        </w:tc>
        <w:tc>
          <w:tcPr>
            <w:tcW w:w="1168" w:type="dxa"/>
          </w:tcPr>
          <w:p w:rsidR="000F4BD4" w:rsidRPr="00311B0F" w:rsidRDefault="000F4BD4" w:rsidP="00311B0F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אורח החיים של ציידים לקטים</w:t>
            </w:r>
          </w:p>
        </w:tc>
        <w:tc>
          <w:tcPr>
            <w:tcW w:w="2777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1995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lastRenderedPageBreak/>
              <w:t>3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אורח החיים של חקלאים מסורתיים</w:t>
            </w:r>
          </w:p>
        </w:tc>
        <w:tc>
          <w:tcPr>
            <w:tcW w:w="2777" w:type="dxa"/>
          </w:tcPr>
          <w:p w:rsidR="001C6E07" w:rsidRPr="00311B0F" w:rsidRDefault="00ED3985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אביצור </w:t>
            </w:r>
            <w:r w:rsidR="006A1C63">
              <w:rPr>
                <w:rFonts w:ascii="Arial" w:hAnsi="Arial" w:cs="Arial" w:hint="cs"/>
                <w:rtl/>
              </w:rPr>
              <w:t>1976, 1977</w:t>
            </w:r>
            <w:r>
              <w:rPr>
                <w:rFonts w:ascii="Arial" w:hAnsi="Arial" w:cs="Arial" w:hint="cs"/>
                <w:rtl/>
              </w:rPr>
              <w:t xml:space="preserve">; </w:t>
            </w:r>
            <w:r>
              <w:rPr>
                <w:rFonts w:ascii="Arial" w:hAnsi="Arial" w:cs="Arial"/>
              </w:rPr>
              <w:t>Hillman</w:t>
            </w:r>
            <w:r w:rsidR="00095890">
              <w:rPr>
                <w:rFonts w:ascii="Arial" w:hAnsi="Arial" w:cs="Arial"/>
              </w:rPr>
              <w:t xml:space="preserve"> 1984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קונג-סן</w:t>
            </w:r>
          </w:p>
        </w:tc>
        <w:tc>
          <w:tcPr>
            <w:tcW w:w="2777" w:type="dxa"/>
          </w:tcPr>
          <w:p w:rsidR="001C6E07" w:rsidRPr="00311B0F" w:rsidRDefault="003E7FCD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1993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קונג-סן</w:t>
            </w:r>
          </w:p>
        </w:tc>
        <w:tc>
          <w:tcPr>
            <w:tcW w:w="2777" w:type="dxa"/>
          </w:tcPr>
          <w:p w:rsidR="001C6E07" w:rsidRPr="00311B0F" w:rsidRDefault="008B3CBD" w:rsidP="008B3CBD">
            <w:pPr>
              <w:bidi w:val="0"/>
              <w:ind w:left="26"/>
              <w:rPr>
                <w:rFonts w:ascii="Arial" w:hAnsi="Arial" w:cs="Arial"/>
              </w:rPr>
            </w:pPr>
            <w:r w:rsidRPr="003E7FCD">
              <w:rPr>
                <w:rFonts w:ascii="Arial" w:hAnsi="Arial" w:cs="Arial"/>
              </w:rPr>
              <w:t>Lee</w:t>
            </w:r>
            <w:r>
              <w:rPr>
                <w:rFonts w:ascii="Arial" w:hAnsi="Arial" w:cs="Arial"/>
              </w:rPr>
              <w:t xml:space="preserve"> </w:t>
            </w:r>
            <w:r w:rsidRPr="008B3CBD">
              <w:rPr>
                <w:rFonts w:ascii="Arial" w:hAnsi="Arial" w:cs="Arial"/>
              </w:rPr>
              <w:t xml:space="preserve">and DeVore </w:t>
            </w:r>
            <w:r>
              <w:rPr>
                <w:rFonts w:ascii="Arial" w:hAnsi="Arial" w:cs="Arial"/>
              </w:rPr>
              <w:t>1976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הדזה</w:t>
            </w:r>
          </w:p>
        </w:tc>
        <w:tc>
          <w:tcPr>
            <w:tcW w:w="2777" w:type="dxa"/>
          </w:tcPr>
          <w:p w:rsidR="001C6E07" w:rsidRPr="00311B0F" w:rsidRDefault="00324AC5" w:rsidP="001C6E07">
            <w:pPr>
              <w:pStyle w:val="1"/>
              <w:ind w:left="26"/>
              <w:jc w:val="left"/>
              <w:rPr>
                <w:rFonts w:ascii="Arial" w:hAnsi="Arial"/>
                <w:lang w:eastAsia="en-US"/>
              </w:rPr>
            </w:pPr>
            <w:r>
              <w:rPr>
                <w:rFonts w:ascii="Arial" w:hAnsi="Arial" w:hint="cs"/>
                <w:rtl/>
                <w:lang w:eastAsia="en-US"/>
              </w:rPr>
              <w:t xml:space="preserve">דיאמונד, </w:t>
            </w:r>
            <w:r w:rsidR="006A7FA5">
              <w:rPr>
                <w:rFonts w:ascii="Arial" w:hAnsi="Arial" w:hint="cs"/>
                <w:rtl/>
                <w:lang w:eastAsia="en-US"/>
              </w:rPr>
              <w:t xml:space="preserve">2003. </w:t>
            </w:r>
            <w:r>
              <w:rPr>
                <w:rFonts w:ascii="Arial" w:hAnsi="Arial" w:hint="cs"/>
                <w:rtl/>
                <w:lang w:eastAsia="en-US"/>
              </w:rPr>
              <w:t>פרק 6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איניוט</w:t>
            </w:r>
          </w:p>
        </w:tc>
        <w:tc>
          <w:tcPr>
            <w:tcW w:w="2777" w:type="dxa"/>
          </w:tcPr>
          <w:p w:rsidR="001C6E07" w:rsidRPr="00311B0F" w:rsidRDefault="00FD3819" w:rsidP="001C6E07">
            <w:pPr>
              <w:ind w:left="26"/>
              <w:rPr>
                <w:rFonts w:ascii="Arial" w:hAnsi="Arial" w:cs="Arial"/>
              </w:rPr>
            </w:pPr>
            <w:r>
              <w:t>Ager &amp; Ager 1980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איניוט</w:t>
            </w:r>
          </w:p>
        </w:tc>
        <w:tc>
          <w:tcPr>
            <w:tcW w:w="2777" w:type="dxa"/>
          </w:tcPr>
          <w:p w:rsidR="001C6E07" w:rsidRPr="00311B0F" w:rsidRDefault="00095890" w:rsidP="001C6E07">
            <w:pPr>
              <w:ind w:left="26"/>
              <w:rPr>
                <w:rFonts w:ascii="Arial" w:hAnsi="Arial" w:cs="Arial"/>
              </w:rPr>
            </w:pPr>
            <w:r>
              <w:t>Ager &amp; Ager 1980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בדואים</w:t>
            </w:r>
          </w:p>
        </w:tc>
        <w:tc>
          <w:tcPr>
            <w:tcW w:w="2777" w:type="dxa"/>
          </w:tcPr>
          <w:p w:rsidR="001C6E07" w:rsidRPr="00311B0F" w:rsidRDefault="00095890" w:rsidP="001C6E07">
            <w:pPr>
              <w:ind w:left="26"/>
              <w:rPr>
                <w:rFonts w:ascii="Arial" w:hAnsi="Arial" w:cs="Arial"/>
              </w:rPr>
            </w:pPr>
            <w:r w:rsidRPr="00344616">
              <w:rPr>
                <w:rFonts w:cs="David"/>
                <w:rtl/>
              </w:rPr>
              <w:t>אבו רביעה</w:t>
            </w:r>
            <w:r>
              <w:rPr>
                <w:rFonts w:cs="David" w:hint="cs"/>
                <w:rtl/>
              </w:rPr>
              <w:t xml:space="preserve"> </w:t>
            </w:r>
            <w:r w:rsidRPr="00344616">
              <w:rPr>
                <w:rFonts w:cs="David"/>
                <w:rtl/>
              </w:rPr>
              <w:t>1991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בדואים</w:t>
            </w:r>
          </w:p>
        </w:tc>
        <w:tc>
          <w:tcPr>
            <w:tcW w:w="2777" w:type="dxa"/>
          </w:tcPr>
          <w:p w:rsidR="001C6E07" w:rsidRPr="00311B0F" w:rsidRDefault="00324AC5" w:rsidP="001C6E07">
            <w:pPr>
              <w:ind w:left="26"/>
              <w:rPr>
                <w:rFonts w:ascii="Arial" w:hAnsi="Arial" w:cs="Arial"/>
              </w:rPr>
            </w:pPr>
            <w:r w:rsidRPr="00324AC5">
              <w:rPr>
                <w:b/>
                <w:rtl/>
              </w:rPr>
              <w:t xml:space="preserve">בר-צבי </w:t>
            </w:r>
            <w:r w:rsidRPr="00776B3E">
              <w:rPr>
                <w:b/>
                <w:rtl/>
              </w:rPr>
              <w:t>1979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חקלאים מסורתיים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סוריה-תורכיה</w:t>
            </w:r>
          </w:p>
        </w:tc>
        <w:tc>
          <w:tcPr>
            <w:tcW w:w="2777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אביצור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  <w:tr w:rsidR="001C6E07" w:rsidRPr="00311B0F" w:rsidTr="001C6E07">
        <w:tc>
          <w:tcPr>
            <w:tcW w:w="1386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 w:rsidRPr="00311B0F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2111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חקלאים מסורתיים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ארץ ישראל</w:t>
            </w:r>
          </w:p>
        </w:tc>
        <w:tc>
          <w:tcPr>
            <w:tcW w:w="2777" w:type="dxa"/>
          </w:tcPr>
          <w:p w:rsidR="001C6E07" w:rsidRPr="00311B0F" w:rsidRDefault="001C6E07" w:rsidP="001C6E0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אביצור</w:t>
            </w:r>
          </w:p>
        </w:tc>
        <w:tc>
          <w:tcPr>
            <w:tcW w:w="1168" w:type="dxa"/>
          </w:tcPr>
          <w:p w:rsidR="001C6E07" w:rsidRPr="00311B0F" w:rsidRDefault="001C6E07" w:rsidP="001C6E07">
            <w:pPr>
              <w:ind w:left="26"/>
              <w:rPr>
                <w:rFonts w:ascii="Arial" w:hAnsi="Arial" w:cs="Arial"/>
              </w:rPr>
            </w:pPr>
          </w:p>
        </w:tc>
      </w:tr>
    </w:tbl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B8069C" w:rsidP="00DB7547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0F4BD4"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="000F4BD4"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 w:rsidR="000F4BD4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084404" w:rsidRDefault="000F4BD4" w:rsidP="000F4BD4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084404">
        <w:rPr>
          <w:rFonts w:ascii="Arial" w:hAnsi="Arial" w:cs="Arial" w:hint="cs"/>
          <w:b/>
          <w:bCs/>
          <w:rtl/>
        </w:rPr>
        <w:t xml:space="preserve"> </w:t>
      </w:r>
    </w:p>
    <w:p w:rsidR="000F4BD4" w:rsidRDefault="00084404" w:rsidP="000F4BD4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אין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305D62" w:rsidRDefault="00305D62" w:rsidP="00305D62">
      <w:pPr>
        <w:rPr>
          <w:rFonts w:ascii="Arial" w:hAnsi="Arial" w:cs="Arial"/>
          <w:b/>
          <w:bCs/>
        </w:rPr>
      </w:pPr>
    </w:p>
    <w:p w:rsidR="000F4BD4" w:rsidRPr="00E75758" w:rsidRDefault="000F4BD4" w:rsidP="000F4BD4">
      <w:pPr>
        <w:ind w:left="26"/>
        <w:rPr>
          <w:rFonts w:ascii="Arial" w:hAnsi="Arial" w:cs="Arial"/>
          <w:rtl/>
        </w:rPr>
      </w:pPr>
    </w:p>
    <w:p w:rsidR="00084404" w:rsidRPr="00016AC2" w:rsidRDefault="000F4BD4" w:rsidP="00016AC2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</w:p>
    <w:p w:rsidR="00084404" w:rsidRPr="003F0FDC" w:rsidRDefault="00305D62" w:rsidP="00305D62">
      <w:pPr>
        <w:spacing w:line="340" w:lineRule="exact"/>
        <w:rPr>
          <w:rFonts w:cs="David"/>
          <w:rtl/>
        </w:rPr>
      </w:pPr>
      <w:r>
        <w:rPr>
          <w:rFonts w:cs="David" w:hint="cs"/>
          <w:rtl/>
        </w:rPr>
        <w:t>בחינה</w:t>
      </w:r>
      <w:r w:rsidR="00084404" w:rsidRPr="003F0FDC">
        <w:rPr>
          <w:rFonts w:cs="David"/>
          <w:rtl/>
        </w:rPr>
        <w:t xml:space="preserve"> - </w:t>
      </w:r>
      <w:r w:rsidR="00016AC2">
        <w:rPr>
          <w:rFonts w:cs="David" w:hint="cs"/>
          <w:rtl/>
        </w:rPr>
        <w:t>10</w:t>
      </w:r>
      <w:r w:rsidR="00084404" w:rsidRPr="003F0FDC">
        <w:rPr>
          <w:rFonts w:cs="David"/>
          <w:rtl/>
        </w:rPr>
        <w:t>0%</w:t>
      </w:r>
    </w:p>
    <w:p w:rsidR="000F4BD4" w:rsidRDefault="000F4BD4" w:rsidP="000F4BD4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0F4BD4" w:rsidRDefault="000F4BD4" w:rsidP="000F4BD4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</w:p>
    <w:p w:rsidR="00407004" w:rsidRPr="00407004" w:rsidRDefault="00407004" w:rsidP="00407004">
      <w:pPr>
        <w:ind w:left="509" w:hanging="425"/>
        <w:rPr>
          <w:rFonts w:asciiTheme="minorBidi" w:hAnsiTheme="minorBidi" w:cstheme="minorBidi"/>
          <w:b/>
          <w:rtl/>
        </w:rPr>
      </w:pPr>
      <w:r w:rsidRPr="00407004">
        <w:rPr>
          <w:rFonts w:asciiTheme="minorBidi" w:hAnsiTheme="minorBidi" w:cstheme="minorBidi"/>
          <w:rtl/>
        </w:rPr>
        <w:t xml:space="preserve">אבו רביעה, עארף. 1991. המשפחה הבדוית בנגב ומשק גדול הצאן: הבטים חברתיים, כלכליים ופוליטיים. </w:t>
      </w:r>
      <w:r w:rsidRPr="00407004">
        <w:rPr>
          <w:rFonts w:asciiTheme="minorBidi" w:hAnsiTheme="minorBidi" w:cstheme="minorBidi"/>
          <w:rtl/>
        </w:rPr>
        <w:t>‬תל-אביב.</w:t>
      </w:r>
      <w:r w:rsidRPr="00407004">
        <w:rPr>
          <w:rFonts w:asciiTheme="minorBidi" w:hAnsiTheme="minorBidi" w:cstheme="minorBidi"/>
          <w:b/>
          <w:rtl/>
        </w:rPr>
        <w:t xml:space="preserve"> </w:t>
      </w:r>
    </w:p>
    <w:p w:rsidR="00407004" w:rsidRPr="00407004" w:rsidRDefault="00407004" w:rsidP="00407004">
      <w:pPr>
        <w:pStyle w:val="a7"/>
        <w:ind w:left="509" w:right="-142" w:hanging="425"/>
        <w:rPr>
          <w:rFonts w:asciiTheme="minorBidi" w:hAnsiTheme="minorBidi" w:cstheme="minorBidi"/>
          <w:szCs w:val="24"/>
          <w:rtl/>
        </w:rPr>
      </w:pPr>
      <w:r w:rsidRPr="00407004">
        <w:rPr>
          <w:rFonts w:asciiTheme="minorBidi" w:hAnsiTheme="minorBidi" w:cstheme="minorBidi"/>
          <w:szCs w:val="24"/>
          <w:rtl/>
        </w:rPr>
        <w:t>אביצור, שמואל. 1976. אדם ועמלו אטלס לתולדות כלי עבודה ומיתקני ייצור בארץ ישראל, הוצאת כרטא.</w:t>
      </w:r>
    </w:p>
    <w:p w:rsidR="00407004" w:rsidRPr="00407004" w:rsidRDefault="00407004" w:rsidP="00407004">
      <w:pPr>
        <w:pStyle w:val="a7"/>
        <w:ind w:left="509" w:right="-142" w:hanging="425"/>
        <w:jc w:val="both"/>
        <w:rPr>
          <w:rFonts w:asciiTheme="minorBidi" w:hAnsiTheme="minorBidi" w:cstheme="minorBidi"/>
          <w:szCs w:val="24"/>
          <w:rtl/>
        </w:rPr>
      </w:pPr>
      <w:r w:rsidRPr="00407004">
        <w:rPr>
          <w:rFonts w:asciiTheme="minorBidi" w:hAnsiTheme="minorBidi" w:cstheme="minorBidi"/>
          <w:szCs w:val="24"/>
          <w:rtl/>
        </w:rPr>
        <w:t>אביצור, שמואל. 1977. תמורות בחקלאות ארץ-ישראל, 1975-1875, הוצאת מלוא, מכון אבשלום.</w:t>
      </w:r>
    </w:p>
    <w:p w:rsidR="00407004" w:rsidRPr="00407004" w:rsidRDefault="00407004" w:rsidP="00407004">
      <w:pPr>
        <w:pStyle w:val="a7"/>
        <w:ind w:left="509" w:right="-142" w:hanging="425"/>
        <w:jc w:val="both"/>
        <w:rPr>
          <w:rFonts w:asciiTheme="minorBidi" w:hAnsiTheme="minorBidi" w:cstheme="minorBidi"/>
          <w:szCs w:val="24"/>
          <w:rtl/>
        </w:rPr>
      </w:pPr>
      <w:r w:rsidRPr="00407004">
        <w:rPr>
          <w:rFonts w:asciiTheme="minorBidi" w:hAnsiTheme="minorBidi" w:cstheme="minorBidi"/>
          <w:szCs w:val="24"/>
          <w:rtl/>
        </w:rPr>
        <w:t>אביצור, שמואל. 1988. מבחר מאמרים בידיעת ארץ-ישראל: תהליכי ייצור ואורחות חיים (בעריכת יואב רגב ואלי שילר), ירושלים: אריאל.</w:t>
      </w:r>
    </w:p>
    <w:p w:rsidR="00407004" w:rsidRPr="00407004" w:rsidRDefault="00407004" w:rsidP="00407004">
      <w:pPr>
        <w:ind w:left="509" w:hanging="425"/>
        <w:rPr>
          <w:rFonts w:asciiTheme="minorBidi" w:hAnsiTheme="minorBidi" w:cstheme="minorBidi"/>
          <w:b/>
        </w:rPr>
      </w:pPr>
      <w:r w:rsidRPr="00407004">
        <w:rPr>
          <w:rFonts w:asciiTheme="minorBidi" w:hAnsiTheme="minorBidi" w:cstheme="minorBidi"/>
          <w:b/>
          <w:rtl/>
        </w:rPr>
        <w:t>בר-צבי, ששון, 1979. מאפיינים של חיי הבדואים בנגב טרם התנחלות. בתוך: שמואלי, אבשלום וגרדוס, יהודה (עורכים), ארץ הנגב, אדם ומדבר. משרד הביטחון - ההוצאה לאור.</w:t>
      </w:r>
    </w:p>
    <w:p w:rsidR="00407004" w:rsidRPr="00407004" w:rsidRDefault="00407004" w:rsidP="00407004">
      <w:pPr>
        <w:ind w:left="509" w:hanging="425"/>
        <w:rPr>
          <w:rFonts w:asciiTheme="minorBidi" w:hAnsiTheme="minorBidi" w:cstheme="minorBidi"/>
          <w:b/>
          <w:rtl/>
        </w:rPr>
      </w:pPr>
      <w:r w:rsidRPr="00407004">
        <w:rPr>
          <w:rFonts w:asciiTheme="minorBidi" w:hAnsiTheme="minorBidi" w:cstheme="minorBidi"/>
          <w:b/>
          <w:rtl/>
        </w:rPr>
        <w:t xml:space="preserve">דיימונד, ג'ארד 2003. רובים, חיידקים ופלדה – גורלותיהן של חברות אדם. עם עובד, תל אביב. </w:t>
      </w:r>
    </w:p>
    <w:p w:rsidR="00407004" w:rsidRPr="00407004" w:rsidRDefault="00407004" w:rsidP="00407004">
      <w:pPr>
        <w:pStyle w:val="a7"/>
        <w:ind w:left="509" w:right="-142" w:hanging="425"/>
        <w:jc w:val="both"/>
        <w:rPr>
          <w:rFonts w:asciiTheme="minorBidi" w:hAnsiTheme="minorBidi" w:cstheme="minorBidi"/>
          <w:szCs w:val="24"/>
          <w:rtl/>
        </w:rPr>
      </w:pPr>
      <w:r w:rsidRPr="00407004">
        <w:rPr>
          <w:rFonts w:asciiTheme="minorBidi" w:hAnsiTheme="minorBidi" w:cstheme="minorBidi"/>
          <w:szCs w:val="24"/>
          <w:rtl/>
        </w:rPr>
        <w:t>הבילנד ויליאם. 1999</w:t>
      </w:r>
      <w:r>
        <w:rPr>
          <w:rFonts w:asciiTheme="minorBidi" w:hAnsiTheme="minorBidi" w:cstheme="minorBidi" w:hint="cs"/>
          <w:szCs w:val="24"/>
          <w:rtl/>
        </w:rPr>
        <w:t xml:space="preserve">. </w:t>
      </w:r>
      <w:r w:rsidRPr="00407004">
        <w:rPr>
          <w:rFonts w:asciiTheme="minorBidi" w:hAnsiTheme="minorBidi" w:cstheme="minorBidi"/>
          <w:szCs w:val="24"/>
          <w:rtl/>
        </w:rPr>
        <w:t>אנתרופולוגיה תרבותית. האוניברסיטה הפתוחה.</w:t>
      </w:r>
    </w:p>
    <w:p w:rsidR="00407004" w:rsidRPr="00407004" w:rsidRDefault="00407004" w:rsidP="00407004">
      <w:pPr>
        <w:ind w:left="509" w:hanging="425"/>
        <w:rPr>
          <w:rFonts w:asciiTheme="minorBidi" w:hAnsiTheme="minorBidi" w:cstheme="minorBidi"/>
          <w:b/>
          <w:rtl/>
        </w:rPr>
      </w:pPr>
      <w:r w:rsidRPr="00407004">
        <w:rPr>
          <w:rFonts w:asciiTheme="minorBidi" w:hAnsiTheme="minorBidi" w:cstheme="minorBidi"/>
          <w:b/>
          <w:rtl/>
        </w:rPr>
        <w:t>מרקס, עמנואל, 1974. החברה הבדוית בנגב, הוצאת ספרים "רשפים".</w:t>
      </w:r>
    </w:p>
    <w:p w:rsidR="00344616" w:rsidRDefault="00344616" w:rsidP="003E7FCD">
      <w:pPr>
        <w:pStyle w:val="a7"/>
        <w:bidi w:val="0"/>
        <w:ind w:left="-58" w:right="-142" w:firstLine="58"/>
        <w:rPr>
          <w:rFonts w:cs="David"/>
          <w:szCs w:val="24"/>
          <w:rtl/>
        </w:rPr>
      </w:pPr>
    </w:p>
    <w:p w:rsidR="00407004" w:rsidRPr="00407004" w:rsidRDefault="00407004" w:rsidP="00407004">
      <w:pPr>
        <w:bidi w:val="0"/>
        <w:ind w:left="720" w:hanging="720"/>
        <w:rPr>
          <w:rFonts w:asciiTheme="minorBidi" w:hAnsiTheme="minorBidi" w:cstheme="minorBidi"/>
          <w:sz w:val="36"/>
          <w:szCs w:val="36"/>
        </w:rPr>
      </w:pPr>
      <w:r w:rsidRPr="00407004">
        <w:rPr>
          <w:rFonts w:asciiTheme="minorBidi" w:hAnsiTheme="minorBidi" w:cstheme="minorBidi"/>
        </w:rPr>
        <w:t xml:space="preserve">Hillman, G. C. (1984). "Traditional husbandry and processing of archaic cereals in recent times: the operations, products and equipment which </w:t>
      </w:r>
      <w:r w:rsidRPr="00407004">
        <w:rPr>
          <w:rFonts w:asciiTheme="minorBidi" w:hAnsiTheme="minorBidi" w:cstheme="minorBidi"/>
        </w:rPr>
        <w:lastRenderedPageBreak/>
        <w:t xml:space="preserve">might feature in Sumerian texts. Part 1: the glume wheats." </w:t>
      </w:r>
      <w:r w:rsidRPr="00407004">
        <w:rPr>
          <w:rFonts w:asciiTheme="minorBidi" w:hAnsiTheme="minorBidi" w:cstheme="minorBidi"/>
          <w:u w:val="single"/>
        </w:rPr>
        <w:t>Bulletin on Sumerian Agriculture</w:t>
      </w:r>
      <w:r w:rsidRPr="00407004">
        <w:rPr>
          <w:rFonts w:asciiTheme="minorBidi" w:hAnsiTheme="minorBidi" w:cstheme="minorBidi"/>
        </w:rPr>
        <w:t xml:space="preserve"> </w:t>
      </w:r>
      <w:r w:rsidRPr="00407004">
        <w:rPr>
          <w:rFonts w:asciiTheme="minorBidi" w:hAnsiTheme="minorBidi" w:cstheme="minorBidi"/>
          <w:b/>
          <w:bCs/>
        </w:rPr>
        <w:t>1</w:t>
      </w:r>
      <w:r w:rsidRPr="00407004">
        <w:rPr>
          <w:rFonts w:asciiTheme="minorBidi" w:hAnsiTheme="minorBidi" w:cstheme="minorBidi"/>
        </w:rPr>
        <w:t>: 1-32.</w:t>
      </w:r>
    </w:p>
    <w:p w:rsidR="00407004" w:rsidRPr="00407004" w:rsidRDefault="00407004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 xml:space="preserve">Kelly, R. L. 1995. </w:t>
      </w:r>
      <w:r w:rsidRPr="00407004">
        <w:rPr>
          <w:rFonts w:asciiTheme="minorBidi" w:hAnsiTheme="minorBidi" w:cstheme="minorBidi"/>
          <w:u w:val="single"/>
        </w:rPr>
        <w:t>The Foraging Spectrum: Diversity in Hunter-gatherer Lifeways</w:t>
      </w:r>
      <w:r w:rsidRPr="00407004">
        <w:rPr>
          <w:rFonts w:asciiTheme="minorBidi" w:hAnsiTheme="minorBidi" w:cstheme="minorBidi"/>
        </w:rPr>
        <w:t xml:space="preserve">. </w:t>
      </w:r>
      <w:smartTag w:uri="urn:schemas-microsoft-com:office:smarttags" w:element="State">
        <w:r w:rsidRPr="00407004">
          <w:rPr>
            <w:rFonts w:asciiTheme="minorBidi" w:hAnsiTheme="minorBidi" w:cstheme="minorBidi"/>
          </w:rPr>
          <w:t>Washington</w:t>
        </w:r>
      </w:smartTag>
      <w:r w:rsidRPr="00407004">
        <w:rPr>
          <w:rFonts w:asciiTheme="minorBidi" w:hAnsiTheme="minorBidi" w:cstheme="minorBidi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407004">
            <w:rPr>
              <w:rFonts w:asciiTheme="minorBidi" w:hAnsiTheme="minorBidi" w:cstheme="minorBidi"/>
            </w:rPr>
            <w:t>London</w:t>
          </w:r>
        </w:smartTag>
      </w:smartTag>
      <w:r w:rsidRPr="00407004">
        <w:rPr>
          <w:rFonts w:asciiTheme="minorBidi" w:hAnsiTheme="minorBidi" w:cstheme="minorBidi"/>
        </w:rPr>
        <w:t>, Smithsonian Institution Press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</w:rPr>
        <w:t xml:space="preserve"> </w:t>
      </w:r>
    </w:p>
    <w:p w:rsidR="00407004" w:rsidRPr="00407004" w:rsidRDefault="00407004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Lee, Richard B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</w:rPr>
        <w:t xml:space="preserve"> 1993. The Dobe Ju/'hoansi. Fort Worth, TX : Holt, Rinehart and Winston.</w:t>
      </w:r>
    </w:p>
    <w:p w:rsidR="00407004" w:rsidRPr="00407004" w:rsidRDefault="00407004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 xml:space="preserve">Lee, Richard B. and DeVore, Irven (Eds.) 1969. </w:t>
      </w:r>
      <w:r w:rsidRPr="00407004">
        <w:rPr>
          <w:rFonts w:asciiTheme="minorBidi" w:hAnsiTheme="minorBidi" w:cstheme="minorBidi"/>
          <w:u w:val="single"/>
        </w:rPr>
        <w:t>Man the hunter</w:t>
      </w:r>
      <w:r w:rsidRPr="00407004">
        <w:rPr>
          <w:rFonts w:asciiTheme="minorBidi" w:hAnsiTheme="minorBidi" w:cstheme="minorBidi"/>
        </w:rPr>
        <w:t>. Chicago: Aldine Pub. co.</w:t>
      </w:r>
    </w:p>
    <w:p w:rsidR="00407004" w:rsidRPr="00407004" w:rsidRDefault="00407004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Lee, Richard B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</w:rPr>
        <w:t xml:space="preserve"> and Irven DeVore, eds. 1976. Kalahari Hunter-Gatherers: Studies of the !Kung San and Their Neighbors. Cambridge: Harvard University Press.</w:t>
      </w:r>
    </w:p>
    <w:p w:rsidR="00407004" w:rsidRPr="00407004" w:rsidRDefault="00407004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 xml:space="preserve">Levy, T. E. (Ed.) 1998. </w:t>
      </w:r>
      <w:r w:rsidRPr="00407004">
        <w:rPr>
          <w:rFonts w:asciiTheme="minorBidi" w:hAnsiTheme="minorBidi" w:cstheme="minorBidi"/>
          <w:u w:val="single"/>
        </w:rPr>
        <w:t xml:space="preserve">The Archaeology of Society in the </w:t>
      </w:r>
      <w:smartTag w:uri="urn:schemas-microsoft-com:office:smarttags" w:element="place">
        <w:r w:rsidRPr="00407004">
          <w:rPr>
            <w:rFonts w:asciiTheme="minorBidi" w:hAnsiTheme="minorBidi" w:cstheme="minorBidi"/>
            <w:u w:val="single"/>
          </w:rPr>
          <w:t>Holy Land</w:t>
        </w:r>
      </w:smartTag>
      <w:r w:rsidRPr="00407004">
        <w:rPr>
          <w:rFonts w:asciiTheme="minorBidi" w:hAnsiTheme="minorBidi" w:cstheme="minorBidi"/>
        </w:rPr>
        <w:t xml:space="preserve">. </w:t>
      </w:r>
      <w:smartTag w:uri="urn:schemas-microsoft-com:office:smarttags" w:element="City">
        <w:r w:rsidRPr="00407004">
          <w:rPr>
            <w:rFonts w:asciiTheme="minorBidi" w:hAnsiTheme="minorBidi" w:cstheme="minorBidi"/>
          </w:rPr>
          <w:t>London</w:t>
        </w:r>
      </w:smartTag>
      <w:r w:rsidRPr="00407004">
        <w:rPr>
          <w:rFonts w:asciiTheme="minorBidi" w:hAnsiTheme="minorBidi" w:cstheme="minorBid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07004">
            <w:rPr>
              <w:rFonts w:asciiTheme="minorBidi" w:hAnsiTheme="minorBidi" w:cstheme="minorBidi"/>
            </w:rPr>
            <w:t>Leicester</w:t>
          </w:r>
        </w:smartTag>
        <w:r w:rsidRPr="00407004">
          <w:rPr>
            <w:rFonts w:asciiTheme="minorBidi" w:hAnsiTheme="minorBidi" w:cstheme="minorBidi"/>
          </w:rPr>
          <w:t xml:space="preserve"> </w:t>
        </w:r>
        <w:smartTag w:uri="urn:schemas-microsoft-com:office:smarttags" w:element="PlaceType">
          <w:r w:rsidRPr="00407004">
            <w:rPr>
              <w:rFonts w:asciiTheme="minorBidi" w:hAnsiTheme="minorBidi" w:cstheme="minorBidi"/>
            </w:rPr>
            <w:t>University</w:t>
          </w:r>
        </w:smartTag>
      </w:smartTag>
      <w:r w:rsidRPr="00407004">
        <w:rPr>
          <w:rFonts w:asciiTheme="minorBidi" w:hAnsiTheme="minorBidi" w:cstheme="minorBidi"/>
        </w:rPr>
        <w:t xml:space="preserve"> Press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</w:rPr>
        <w:t xml:space="preserve"> </w:t>
      </w:r>
    </w:p>
    <w:p w:rsidR="00407004" w:rsidRPr="00407004" w:rsidRDefault="00407004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Marlowe, Frank, 2010. The Hadza: hunter-gatherers of Tanzania. Berkeley : University of California Press.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Eskimo</w:t>
      </w:r>
      <w:r w:rsidRPr="00407004">
        <w:rPr>
          <w:rFonts w:asciiTheme="minorBidi" w:hAnsiTheme="minorBidi" w:cstheme="minorBidi"/>
          <w:rtl/>
        </w:rPr>
        <w:t>: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1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  <w:rtl/>
        </w:rPr>
        <w:tab/>
      </w:r>
      <w:r w:rsidRPr="00407004">
        <w:rPr>
          <w:rFonts w:asciiTheme="minorBidi" w:hAnsiTheme="minorBidi" w:cstheme="minorBidi"/>
        </w:rPr>
        <w:t>Ager, Thomas A. and Ager, Lynn Price 1980 Ethnobotany of the Eskimos of Nelson Island, Alaska, Arctic Anthropology, 17 (1): 26-48. PDF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2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  <w:rtl/>
        </w:rPr>
        <w:tab/>
      </w:r>
      <w:r w:rsidRPr="00407004">
        <w:rPr>
          <w:rFonts w:asciiTheme="minorBidi" w:hAnsiTheme="minorBidi" w:cstheme="minorBidi"/>
        </w:rPr>
        <w:t>Hassrick, Royal B. The colorful story of North American Indians. Ch 8: Hunters of the North. Octopus Books. Pp 118-125. LAB LIBR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3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  <w:rtl/>
        </w:rPr>
        <w:tab/>
      </w:r>
      <w:r w:rsidRPr="00407004">
        <w:rPr>
          <w:rFonts w:asciiTheme="minorBidi" w:hAnsiTheme="minorBidi" w:cstheme="minorBidi"/>
        </w:rPr>
        <w:t>Taylor, William E.  1966 An Archaeological Perspective on Eskimo Economy</w:t>
      </w:r>
      <w:r w:rsidR="0045341D" w:rsidRPr="00407004">
        <w:rPr>
          <w:rFonts w:asciiTheme="minorBidi" w:hAnsiTheme="minorBidi" w:cstheme="minorBidi"/>
        </w:rPr>
        <w:t xml:space="preserve">. </w:t>
      </w:r>
      <w:r w:rsidRPr="00407004">
        <w:rPr>
          <w:rFonts w:asciiTheme="minorBidi" w:hAnsiTheme="minorBidi" w:cstheme="minorBidi"/>
        </w:rPr>
        <w:t>Antiquity, 40 (158): 114-120. https://doi.org/10.1017/S0003598X00032282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4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  <w:rtl/>
        </w:rPr>
        <w:tab/>
      </w:r>
      <w:r w:rsidRPr="00407004">
        <w:rPr>
          <w:rFonts w:asciiTheme="minorBidi" w:hAnsiTheme="minorBidi" w:cstheme="minorBidi"/>
        </w:rPr>
        <w:t>Savelle, JM McCartney, AP 1988 Geographical and temporal variation in Thule Eskimo subsistence economies: a model, Research in Economic Anthropology, 10: 21-71</w:t>
      </w:r>
      <w:r w:rsidRPr="00407004">
        <w:rPr>
          <w:rFonts w:asciiTheme="minorBidi" w:hAnsiTheme="minorBidi" w:cstheme="minorBidi"/>
          <w:rtl/>
        </w:rPr>
        <w:t>.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5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  <w:rtl/>
        </w:rPr>
        <w:tab/>
      </w:r>
      <w:r w:rsidRPr="00407004">
        <w:rPr>
          <w:rFonts w:asciiTheme="minorBidi" w:hAnsiTheme="minorBidi" w:cstheme="minorBidi"/>
        </w:rPr>
        <w:t>Wenzel, George W. 1991 Animal Rights, Human Rights: Ecology, Economy, and Ideology in the Canadian Arctic. illustrated, University of Toronto Press, 206 pages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6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  <w:rtl/>
        </w:rPr>
        <w:tab/>
      </w:r>
      <w:r w:rsidRPr="00407004">
        <w:rPr>
          <w:rFonts w:asciiTheme="minorBidi" w:hAnsiTheme="minorBidi" w:cstheme="minorBidi"/>
        </w:rPr>
        <w:t>Wenzel, George W. 1989 Sealing at Clyde River, N.W.T.: A Discussion of Inuit Economy, Études/Inuit/Studies, 13 (1): 3-22</w:t>
      </w:r>
      <w:r w:rsidRPr="00407004">
        <w:rPr>
          <w:rFonts w:asciiTheme="minorBidi" w:hAnsiTheme="minorBidi" w:cstheme="minorBidi"/>
          <w:rtl/>
        </w:rPr>
        <w:t>.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7</w:t>
      </w:r>
      <w:r w:rsidRPr="00407004">
        <w:rPr>
          <w:rFonts w:asciiTheme="minorBidi" w:hAnsiTheme="minorBidi" w:cstheme="minorBidi"/>
          <w:rtl/>
        </w:rPr>
        <w:t>.</w:t>
      </w:r>
      <w:r w:rsidRPr="00407004">
        <w:rPr>
          <w:rFonts w:asciiTheme="minorBidi" w:hAnsiTheme="minorBidi" w:cstheme="minorBidi"/>
          <w:rtl/>
        </w:rPr>
        <w:tab/>
      </w:r>
      <w:r w:rsidRPr="00407004">
        <w:rPr>
          <w:rFonts w:asciiTheme="minorBidi" w:hAnsiTheme="minorBidi" w:cstheme="minorBidi"/>
        </w:rPr>
        <w:t>Lashov, B.V. 2013 Northern Ethnic Groups and Traditional Economy, Regional Research of Russia, 3 (4): 482–485</w:t>
      </w:r>
      <w:r w:rsidRPr="00407004">
        <w:rPr>
          <w:rFonts w:asciiTheme="minorBidi" w:hAnsiTheme="minorBidi" w:cstheme="minorBidi"/>
          <w:rtl/>
        </w:rPr>
        <w:t>.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Bedouins</w:t>
      </w:r>
      <w:r w:rsidRPr="00407004">
        <w:rPr>
          <w:rFonts w:asciiTheme="minorBidi" w:hAnsiTheme="minorBidi" w:cstheme="minorBidi"/>
          <w:rtl/>
        </w:rPr>
        <w:t>: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1</w:t>
      </w:r>
      <w:r w:rsidRPr="00407004">
        <w:rPr>
          <w:rFonts w:asciiTheme="minorBidi" w:hAnsiTheme="minorBidi" w:cstheme="minorBidi"/>
          <w:rtl/>
        </w:rPr>
        <w:t xml:space="preserve">. </w:t>
      </w:r>
      <w:r w:rsidRPr="00407004">
        <w:rPr>
          <w:rFonts w:asciiTheme="minorBidi" w:hAnsiTheme="minorBidi" w:cstheme="minorBidi"/>
        </w:rPr>
        <w:t>Goering, K. 1979. Israel and the Bedouin of the Negev. Journal of Palestine Studies, IX (1):3-20</w:t>
      </w:r>
      <w:r w:rsidRPr="00407004">
        <w:rPr>
          <w:rFonts w:asciiTheme="minorBidi" w:hAnsiTheme="minorBidi" w:cstheme="minorBidi"/>
          <w:rtl/>
        </w:rPr>
        <w:t>.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2</w:t>
      </w:r>
      <w:r w:rsidRPr="00407004">
        <w:rPr>
          <w:rFonts w:asciiTheme="minorBidi" w:hAnsiTheme="minorBidi" w:cstheme="minorBidi"/>
          <w:rtl/>
        </w:rPr>
        <w:t xml:space="preserve">. </w:t>
      </w:r>
      <w:r w:rsidRPr="00407004">
        <w:rPr>
          <w:rFonts w:asciiTheme="minorBidi" w:hAnsiTheme="minorBidi" w:cstheme="minorBidi"/>
        </w:rPr>
        <w:t>Marx, E. 1967 Bedouin of the Negev, Manchester University Press, 260 pages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3</w:t>
      </w:r>
      <w:r w:rsidRPr="00407004">
        <w:rPr>
          <w:rFonts w:asciiTheme="minorBidi" w:hAnsiTheme="minorBidi" w:cstheme="minorBidi"/>
          <w:rtl/>
        </w:rPr>
        <w:t xml:space="preserve">. </w:t>
      </w:r>
      <w:r w:rsidRPr="00407004">
        <w:rPr>
          <w:rFonts w:asciiTheme="minorBidi" w:hAnsiTheme="minorBidi" w:cstheme="minorBidi"/>
        </w:rPr>
        <w:t>Abu-Saad, K., Weitzman, S., Abu-Rabiah, Y., Abu-Shareb, H.  And Fraser, D.  Food, Nutrition and Agriculture. FAO, 28 http://www.fao.org/3/y0600m/y0600m06.htm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4</w:t>
      </w:r>
      <w:r w:rsidRPr="00407004">
        <w:rPr>
          <w:rFonts w:asciiTheme="minorBidi" w:hAnsiTheme="minorBidi" w:cstheme="minorBidi"/>
          <w:rtl/>
        </w:rPr>
        <w:t xml:space="preserve">. </w:t>
      </w:r>
      <w:r w:rsidRPr="00407004">
        <w:rPr>
          <w:rFonts w:asciiTheme="minorBidi" w:hAnsiTheme="minorBidi" w:cstheme="minorBidi"/>
        </w:rPr>
        <w:t>Shoup, J. 1984 Nomads In Jordan And Syria, Cultural Survival Quarterly Magazine  https://www.culturalsurvival.org/publications/cultural-survival-quarterly/nomads-jordan-and-syria</w:t>
      </w:r>
    </w:p>
    <w:p w:rsidR="00FD3819" w:rsidRPr="00407004" w:rsidRDefault="00FD3819" w:rsidP="00407004">
      <w:pPr>
        <w:bidi w:val="0"/>
        <w:ind w:left="720" w:hanging="720"/>
        <w:rPr>
          <w:rFonts w:asciiTheme="minorBidi" w:hAnsiTheme="minorBidi" w:cstheme="minorBidi"/>
        </w:rPr>
      </w:pPr>
      <w:r w:rsidRPr="00407004">
        <w:rPr>
          <w:rFonts w:asciiTheme="minorBidi" w:hAnsiTheme="minorBidi" w:cstheme="minorBidi"/>
        </w:rPr>
        <w:t>5</w:t>
      </w:r>
      <w:r w:rsidRPr="00407004">
        <w:rPr>
          <w:rFonts w:asciiTheme="minorBidi" w:hAnsiTheme="minorBidi" w:cstheme="minorBidi"/>
          <w:rtl/>
        </w:rPr>
        <w:t xml:space="preserve">. </w:t>
      </w:r>
      <w:r w:rsidRPr="00407004">
        <w:rPr>
          <w:rFonts w:asciiTheme="minorBidi" w:hAnsiTheme="minorBidi" w:cstheme="minorBidi"/>
        </w:rPr>
        <w:t>Dalman, G. 1928 Work and Custom in Palestine Transl. by Nadia Abdulhadi-Sukhtian 2013</w:t>
      </w:r>
      <w:r w:rsidRPr="00407004">
        <w:rPr>
          <w:rFonts w:asciiTheme="minorBidi" w:hAnsiTheme="minorBidi" w:cstheme="minorBidi"/>
          <w:rtl/>
        </w:rPr>
        <w:t>.</w:t>
      </w:r>
    </w:p>
    <w:p w:rsidR="008675D7" w:rsidRPr="00407004" w:rsidRDefault="008675D7" w:rsidP="00407004">
      <w:pPr>
        <w:bidi w:val="0"/>
        <w:ind w:left="720" w:hanging="720"/>
        <w:rPr>
          <w:rFonts w:asciiTheme="minorBidi" w:hAnsiTheme="minorBidi" w:cstheme="minorBidi"/>
        </w:rPr>
      </w:pPr>
    </w:p>
    <w:p w:rsidR="007103F3" w:rsidRPr="00407004" w:rsidRDefault="007103F3" w:rsidP="00407004">
      <w:pPr>
        <w:bidi w:val="0"/>
        <w:rPr>
          <w:rFonts w:asciiTheme="minorBidi" w:hAnsiTheme="minorBidi" w:cstheme="minorBidi"/>
        </w:rPr>
      </w:pPr>
    </w:p>
    <w:sectPr w:rsidR="007103F3" w:rsidRPr="00407004" w:rsidSect="00C63E48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38" w:rsidRDefault="000C7338">
      <w:r>
        <w:separator/>
      </w:r>
    </w:p>
  </w:endnote>
  <w:endnote w:type="continuationSeparator" w:id="0">
    <w:p w:rsidR="000C7338" w:rsidRDefault="000C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9C" w:rsidRDefault="00B8069C" w:rsidP="00C63E48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F65EF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38" w:rsidRDefault="000C7338">
      <w:r>
        <w:separator/>
      </w:r>
    </w:p>
  </w:footnote>
  <w:footnote w:type="continuationSeparator" w:id="0">
    <w:p w:rsidR="000C7338" w:rsidRDefault="000C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9C" w:rsidRDefault="00B8069C" w:rsidP="00C63E48">
    <w:pPr>
      <w:pStyle w:val="a4"/>
      <w:jc w:val="center"/>
      <w:rPr>
        <w:color w:val="333333"/>
        <w:rtl/>
      </w:rPr>
    </w:pPr>
  </w:p>
  <w:p w:rsidR="00B8069C" w:rsidRPr="006F3984" w:rsidRDefault="00B8069C" w:rsidP="00C63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746D"/>
    <w:multiLevelType w:val="hybridMultilevel"/>
    <w:tmpl w:val="7A6E6ACE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BB4C0C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D0508"/>
    <w:multiLevelType w:val="hybridMultilevel"/>
    <w:tmpl w:val="E76CD6A4"/>
    <w:lvl w:ilvl="0" w:tplc="D466CD46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2" w15:restartNumberingAfterBreak="0">
    <w:nsid w:val="69386569"/>
    <w:multiLevelType w:val="hybridMultilevel"/>
    <w:tmpl w:val="FEDABE60"/>
    <w:lvl w:ilvl="0" w:tplc="3B8A88E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04E27"/>
    <w:rsid w:val="000155AF"/>
    <w:rsid w:val="00015E65"/>
    <w:rsid w:val="00016AC2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404"/>
    <w:rsid w:val="00084BB1"/>
    <w:rsid w:val="0009002C"/>
    <w:rsid w:val="00091118"/>
    <w:rsid w:val="00091790"/>
    <w:rsid w:val="00091976"/>
    <w:rsid w:val="00092F71"/>
    <w:rsid w:val="00092F93"/>
    <w:rsid w:val="00095874"/>
    <w:rsid w:val="00095890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08"/>
    <w:rsid w:val="000C3C27"/>
    <w:rsid w:val="000C6C4F"/>
    <w:rsid w:val="000C6CC0"/>
    <w:rsid w:val="000C7338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0F5686"/>
    <w:rsid w:val="001004B1"/>
    <w:rsid w:val="001018F9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367A"/>
    <w:rsid w:val="00133974"/>
    <w:rsid w:val="00137213"/>
    <w:rsid w:val="00137928"/>
    <w:rsid w:val="00140116"/>
    <w:rsid w:val="001411A6"/>
    <w:rsid w:val="00141A46"/>
    <w:rsid w:val="00143987"/>
    <w:rsid w:val="001471F2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5752"/>
    <w:rsid w:val="00176BA4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5C8D"/>
    <w:rsid w:val="00196435"/>
    <w:rsid w:val="001A106C"/>
    <w:rsid w:val="001A1435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C6E07"/>
    <w:rsid w:val="001D02B3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5A7B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7D6"/>
    <w:rsid w:val="002B71DE"/>
    <w:rsid w:val="002B7A4F"/>
    <w:rsid w:val="002B7E85"/>
    <w:rsid w:val="002C0EBD"/>
    <w:rsid w:val="002C3783"/>
    <w:rsid w:val="002D5FFC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05D62"/>
    <w:rsid w:val="0031057B"/>
    <w:rsid w:val="00310D6B"/>
    <w:rsid w:val="00311172"/>
    <w:rsid w:val="00311B0F"/>
    <w:rsid w:val="003178D8"/>
    <w:rsid w:val="003234EF"/>
    <w:rsid w:val="00324462"/>
    <w:rsid w:val="00324AC5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44616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753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B54F6"/>
    <w:rsid w:val="003C1040"/>
    <w:rsid w:val="003C1BD7"/>
    <w:rsid w:val="003C29CB"/>
    <w:rsid w:val="003C2AD4"/>
    <w:rsid w:val="003C4C54"/>
    <w:rsid w:val="003C684D"/>
    <w:rsid w:val="003D0FFB"/>
    <w:rsid w:val="003D17D0"/>
    <w:rsid w:val="003D17D5"/>
    <w:rsid w:val="003D3A42"/>
    <w:rsid w:val="003D4369"/>
    <w:rsid w:val="003D66A9"/>
    <w:rsid w:val="003D683E"/>
    <w:rsid w:val="003E0EBB"/>
    <w:rsid w:val="003E4E13"/>
    <w:rsid w:val="003E6A6B"/>
    <w:rsid w:val="003E7FCD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04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45125"/>
    <w:rsid w:val="004466F4"/>
    <w:rsid w:val="0045341D"/>
    <w:rsid w:val="00453804"/>
    <w:rsid w:val="0046105A"/>
    <w:rsid w:val="0046126A"/>
    <w:rsid w:val="00462BD6"/>
    <w:rsid w:val="00463003"/>
    <w:rsid w:val="00465F55"/>
    <w:rsid w:val="00467698"/>
    <w:rsid w:val="00470BD7"/>
    <w:rsid w:val="00471851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857"/>
    <w:rsid w:val="004E1B5C"/>
    <w:rsid w:val="004E24DB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1F7F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406BC"/>
    <w:rsid w:val="00644F1B"/>
    <w:rsid w:val="0064732F"/>
    <w:rsid w:val="00650446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3322"/>
    <w:rsid w:val="0069134C"/>
    <w:rsid w:val="00691DFC"/>
    <w:rsid w:val="006947AF"/>
    <w:rsid w:val="00696B58"/>
    <w:rsid w:val="006A14CE"/>
    <w:rsid w:val="006A1C5F"/>
    <w:rsid w:val="006A1C63"/>
    <w:rsid w:val="006A75DF"/>
    <w:rsid w:val="006A7720"/>
    <w:rsid w:val="006A7FA5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5396"/>
    <w:rsid w:val="006F6589"/>
    <w:rsid w:val="006F6C94"/>
    <w:rsid w:val="00702502"/>
    <w:rsid w:val="00703502"/>
    <w:rsid w:val="00703D94"/>
    <w:rsid w:val="00710334"/>
    <w:rsid w:val="007103F3"/>
    <w:rsid w:val="0071074A"/>
    <w:rsid w:val="00712EC3"/>
    <w:rsid w:val="007139BA"/>
    <w:rsid w:val="00720254"/>
    <w:rsid w:val="00720430"/>
    <w:rsid w:val="00723173"/>
    <w:rsid w:val="00724CA0"/>
    <w:rsid w:val="00725158"/>
    <w:rsid w:val="00726F23"/>
    <w:rsid w:val="00734286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76B3E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0C5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3648"/>
    <w:rsid w:val="007D7336"/>
    <w:rsid w:val="007D7B73"/>
    <w:rsid w:val="007D7C9E"/>
    <w:rsid w:val="007E01C4"/>
    <w:rsid w:val="007E0629"/>
    <w:rsid w:val="007E1DFD"/>
    <w:rsid w:val="007E6E91"/>
    <w:rsid w:val="007E7E7E"/>
    <w:rsid w:val="007F26B1"/>
    <w:rsid w:val="007F3AF5"/>
    <w:rsid w:val="007F5E77"/>
    <w:rsid w:val="007F65EF"/>
    <w:rsid w:val="0080187C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29FE"/>
    <w:rsid w:val="008236B0"/>
    <w:rsid w:val="00826530"/>
    <w:rsid w:val="00826E63"/>
    <w:rsid w:val="00827E8E"/>
    <w:rsid w:val="008306AD"/>
    <w:rsid w:val="00832079"/>
    <w:rsid w:val="00833C79"/>
    <w:rsid w:val="00834319"/>
    <w:rsid w:val="00835D5B"/>
    <w:rsid w:val="00836ECA"/>
    <w:rsid w:val="00840A7A"/>
    <w:rsid w:val="0084734E"/>
    <w:rsid w:val="00850ABD"/>
    <w:rsid w:val="00851769"/>
    <w:rsid w:val="0085568A"/>
    <w:rsid w:val="00856DC3"/>
    <w:rsid w:val="00863211"/>
    <w:rsid w:val="00863A6B"/>
    <w:rsid w:val="00863FCF"/>
    <w:rsid w:val="008675D7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EFF"/>
    <w:rsid w:val="008A78D4"/>
    <w:rsid w:val="008B3CBD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07DFA"/>
    <w:rsid w:val="009110D1"/>
    <w:rsid w:val="0091208B"/>
    <w:rsid w:val="00913798"/>
    <w:rsid w:val="009174D2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2FC9"/>
    <w:rsid w:val="00944817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3A7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6E5"/>
    <w:rsid w:val="00A22984"/>
    <w:rsid w:val="00A24C80"/>
    <w:rsid w:val="00A25105"/>
    <w:rsid w:val="00A32AD1"/>
    <w:rsid w:val="00A3443B"/>
    <w:rsid w:val="00A3504D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25A7"/>
    <w:rsid w:val="00AC3F85"/>
    <w:rsid w:val="00AC5814"/>
    <w:rsid w:val="00AC6D3D"/>
    <w:rsid w:val="00AC7396"/>
    <w:rsid w:val="00AD0761"/>
    <w:rsid w:val="00AD10BB"/>
    <w:rsid w:val="00AD1E4F"/>
    <w:rsid w:val="00AD1E9D"/>
    <w:rsid w:val="00AD4ED3"/>
    <w:rsid w:val="00AD6D14"/>
    <w:rsid w:val="00AD7A0E"/>
    <w:rsid w:val="00AE06CB"/>
    <w:rsid w:val="00AE3517"/>
    <w:rsid w:val="00AE6610"/>
    <w:rsid w:val="00AE68F1"/>
    <w:rsid w:val="00AE6A0F"/>
    <w:rsid w:val="00AF4326"/>
    <w:rsid w:val="00B04620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712D2"/>
    <w:rsid w:val="00B760FB"/>
    <w:rsid w:val="00B7752B"/>
    <w:rsid w:val="00B8069C"/>
    <w:rsid w:val="00B84F73"/>
    <w:rsid w:val="00B85065"/>
    <w:rsid w:val="00B8614C"/>
    <w:rsid w:val="00B950DC"/>
    <w:rsid w:val="00B9581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6175"/>
    <w:rsid w:val="00BC671A"/>
    <w:rsid w:val="00BD0A50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5DBC"/>
    <w:rsid w:val="00C17987"/>
    <w:rsid w:val="00C17E3F"/>
    <w:rsid w:val="00C210B0"/>
    <w:rsid w:val="00C21F08"/>
    <w:rsid w:val="00C23C6F"/>
    <w:rsid w:val="00C27FAA"/>
    <w:rsid w:val="00C3184D"/>
    <w:rsid w:val="00C31955"/>
    <w:rsid w:val="00C33299"/>
    <w:rsid w:val="00C3420D"/>
    <w:rsid w:val="00C34A1F"/>
    <w:rsid w:val="00C350B2"/>
    <w:rsid w:val="00C36CBE"/>
    <w:rsid w:val="00C373BF"/>
    <w:rsid w:val="00C40810"/>
    <w:rsid w:val="00C460EC"/>
    <w:rsid w:val="00C5672F"/>
    <w:rsid w:val="00C5710E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0AB7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5603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CF7D71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651"/>
    <w:rsid w:val="00DB7547"/>
    <w:rsid w:val="00DB7F59"/>
    <w:rsid w:val="00DC3800"/>
    <w:rsid w:val="00DC6298"/>
    <w:rsid w:val="00DD0722"/>
    <w:rsid w:val="00DD4224"/>
    <w:rsid w:val="00DD5904"/>
    <w:rsid w:val="00DE06B0"/>
    <w:rsid w:val="00DE1F76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3345"/>
    <w:rsid w:val="00E05920"/>
    <w:rsid w:val="00E11911"/>
    <w:rsid w:val="00E12B78"/>
    <w:rsid w:val="00E15511"/>
    <w:rsid w:val="00E226CD"/>
    <w:rsid w:val="00E231CA"/>
    <w:rsid w:val="00E27329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67242"/>
    <w:rsid w:val="00E71F8A"/>
    <w:rsid w:val="00E732A4"/>
    <w:rsid w:val="00E7430E"/>
    <w:rsid w:val="00E76D1D"/>
    <w:rsid w:val="00E77101"/>
    <w:rsid w:val="00E7798C"/>
    <w:rsid w:val="00E84C7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DA9"/>
    <w:rsid w:val="00EC213C"/>
    <w:rsid w:val="00EC33A8"/>
    <w:rsid w:val="00EC482F"/>
    <w:rsid w:val="00EC6E9A"/>
    <w:rsid w:val="00EC78A0"/>
    <w:rsid w:val="00ED3985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584"/>
    <w:rsid w:val="00EF1C6D"/>
    <w:rsid w:val="00EF36B5"/>
    <w:rsid w:val="00EF3FB9"/>
    <w:rsid w:val="00EF6B5F"/>
    <w:rsid w:val="00EF712A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1463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3819"/>
    <w:rsid w:val="00FD5FEC"/>
    <w:rsid w:val="00FE117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BF57C-597F-42E7-ABE9-69A7CDF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7D3648"/>
    <w:pPr>
      <w:keepNext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paragraph" w:customStyle="1" w:styleId="1">
    <w:name w:val="סגנון1"/>
    <w:basedOn w:val="a"/>
    <w:rsid w:val="007D3648"/>
    <w:pPr>
      <w:jc w:val="both"/>
    </w:pPr>
    <w:rPr>
      <w:rFonts w:cs="Arial"/>
      <w:lang w:eastAsia="he-IL"/>
    </w:rPr>
  </w:style>
  <w:style w:type="character" w:customStyle="1" w:styleId="spelle">
    <w:name w:val="spelle"/>
    <w:basedOn w:val="a0"/>
    <w:rsid w:val="00B8069C"/>
  </w:style>
  <w:style w:type="paragraph" w:styleId="a7">
    <w:name w:val="List"/>
    <w:basedOn w:val="a"/>
    <w:unhideWhenUsed/>
    <w:rsid w:val="00AE6A0F"/>
    <w:pPr>
      <w:ind w:left="360" w:hanging="360"/>
    </w:pPr>
    <w:rPr>
      <w:rFonts w:cs="Miriam"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A626-B7E3-4705-B15C-1EDED2A8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875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   תאריך עדכון:</vt:lpstr>
    </vt:vector>
  </TitlesOfParts>
  <Company>USER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Haim</dc:creator>
  <cp:keywords/>
  <cp:lastModifiedBy>Israel Dept</cp:lastModifiedBy>
  <cp:revision>10</cp:revision>
  <cp:lastPrinted>2009-01-15T12:36:00Z</cp:lastPrinted>
  <dcterms:created xsi:type="dcterms:W3CDTF">2019-05-04T19:54:00Z</dcterms:created>
  <dcterms:modified xsi:type="dcterms:W3CDTF">2019-05-07T12:03:00Z</dcterms:modified>
</cp:coreProperties>
</file>