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4E" w:rsidRPr="00102297" w:rsidRDefault="00F5414E" w:rsidP="00BC529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עשה ואל תעשה: סדנה לעיבוד ולפרסום קרמיקה עתיקה (</w:t>
      </w:r>
      <w:r w:rsidR="00BC5290" w:rsidRPr="00102297">
        <w:rPr>
          <w:rFonts w:asciiTheme="majorBidi" w:hAnsiTheme="majorBidi" w:cstheme="majorBidi"/>
          <w:b/>
          <w:bCs/>
          <w:sz w:val="24"/>
          <w:szCs w:val="24"/>
        </w:rPr>
        <w:t>16172-01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F5414E" w:rsidRPr="00102297" w:rsidRDefault="00F5414E" w:rsidP="00F541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>ד"ר ערן אריה</w:t>
      </w:r>
    </w:p>
    <w:p w:rsidR="00F5414E" w:rsidRPr="00102297" w:rsidRDefault="00F5414E" w:rsidP="000B45E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סוג הקורס: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B45E6">
        <w:rPr>
          <w:rFonts w:asciiTheme="majorBidi" w:hAnsiTheme="majorBidi" w:cstheme="majorBidi" w:hint="cs"/>
          <w:sz w:val="24"/>
          <w:szCs w:val="24"/>
          <w:rtl/>
        </w:rPr>
        <w:t>הרצאה</w:t>
      </w:r>
      <w:bookmarkStart w:id="0" w:name="_GoBack"/>
      <w:bookmarkEnd w:id="0"/>
    </w:p>
    <w:p w:rsidR="00F5414E" w:rsidRPr="00102297" w:rsidRDefault="00F5414E" w:rsidP="0033216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שנת לימודים</w:t>
      </w:r>
      <w:r w:rsidRPr="00102297">
        <w:rPr>
          <w:rFonts w:asciiTheme="majorBidi" w:hAnsiTheme="majorBidi" w:cstheme="majorBidi"/>
          <w:sz w:val="24"/>
          <w:szCs w:val="24"/>
          <w:rtl/>
        </w:rPr>
        <w:t>: תשע"ט</w:t>
      </w:r>
      <w:r w:rsidR="00332165" w:rsidRPr="00102297">
        <w:rPr>
          <w:rFonts w:asciiTheme="majorBidi" w:hAnsiTheme="majorBidi" w:cstheme="majorBidi" w:hint="cs"/>
          <w:sz w:val="24"/>
          <w:szCs w:val="24"/>
          <w:rtl/>
        </w:rPr>
        <w:tab/>
      </w:r>
      <w:r w:rsidR="00332165" w:rsidRPr="00102297">
        <w:rPr>
          <w:rFonts w:asciiTheme="majorBidi" w:hAnsiTheme="majorBidi" w:cstheme="majorBidi" w:hint="cs"/>
          <w:sz w:val="24"/>
          <w:szCs w:val="24"/>
          <w:rtl/>
        </w:rPr>
        <w:tab/>
      </w:r>
      <w:r w:rsidR="00332165" w:rsidRPr="00102297">
        <w:rPr>
          <w:rFonts w:asciiTheme="majorBidi" w:hAnsiTheme="majorBidi" w:cstheme="majorBidi" w:hint="cs"/>
          <w:sz w:val="24"/>
          <w:szCs w:val="24"/>
          <w:rtl/>
        </w:rPr>
        <w:tab/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סמסטר</w:t>
      </w:r>
      <w:r w:rsidRPr="00102297">
        <w:rPr>
          <w:rFonts w:asciiTheme="majorBidi" w:hAnsiTheme="majorBidi" w:cstheme="majorBidi"/>
          <w:sz w:val="24"/>
          <w:szCs w:val="24"/>
          <w:rtl/>
        </w:rPr>
        <w:t>:  ב'</w:t>
      </w:r>
      <w:r w:rsidR="00332165" w:rsidRPr="001022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332165" w:rsidRPr="001022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332165" w:rsidRPr="001022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היקף שעות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:  </w:t>
      </w:r>
      <w:r w:rsidR="00BC5290" w:rsidRPr="00102297">
        <w:rPr>
          <w:rFonts w:asciiTheme="majorBidi" w:hAnsiTheme="majorBidi" w:cstheme="majorBidi"/>
          <w:sz w:val="24"/>
          <w:szCs w:val="24"/>
          <w:rtl/>
        </w:rPr>
        <w:t>1 ש"ש</w:t>
      </w:r>
    </w:p>
    <w:p w:rsidR="00F5414E" w:rsidRPr="00102297" w:rsidRDefault="00F5414E" w:rsidP="0040615A">
      <w:pPr>
        <w:spacing w:after="0" w:line="240" w:lineRule="auto"/>
        <w:ind w:left="2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א. מטרות הקורס</w:t>
      </w:r>
      <w:r w:rsidR="00B3163E" w:rsidRPr="001022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ותוצרי למידה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F5414E" w:rsidRPr="00102297" w:rsidRDefault="00F5414E" w:rsidP="00B3163E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מטר</w:t>
      </w:r>
      <w:r w:rsidR="009341FC">
        <w:rPr>
          <w:rFonts w:asciiTheme="majorBidi" w:hAnsiTheme="majorBidi" w:cstheme="majorBidi" w:hint="cs"/>
          <w:sz w:val="24"/>
          <w:szCs w:val="24"/>
          <w:u w:val="single"/>
          <w:rtl/>
        </w:rPr>
        <w:t>ו</w:t>
      </w: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ת הקורס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40615A" w:rsidRPr="00102297" w:rsidRDefault="000B4930" w:rsidP="00934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מבין סוגי הממצא הארכיאולוגי הנחשף בחפירות בישראל, כלי החרס והממצאים הקרמיים הם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>העשיר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 xml:space="preserve">והנפוצים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ביותר. הלימודים בקורסי הטיפולוגיה 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 xml:space="preserve">הקרמית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נותנים </w:t>
      </w:r>
      <w:r w:rsidR="0040615A" w:rsidRPr="00102297">
        <w:rPr>
          <w:rFonts w:asciiTheme="majorBidi" w:hAnsiTheme="majorBidi" w:cstheme="majorBidi"/>
          <w:sz w:val="24"/>
          <w:szCs w:val="24"/>
          <w:rtl/>
        </w:rPr>
        <w:t xml:space="preserve">לתלמידים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>מענה ראשוני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 xml:space="preserve"> להכרת התרבות החומרית העתיקה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, אולם למעשה, עם סיום הלימודים, 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 xml:space="preserve">אין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לתלמידים 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ידע מעשי איך לטפל ב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 xml:space="preserve">ממצאים, וכיצד 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להביאם </w:t>
      </w:r>
      <w:r w:rsidR="00EE7E23" w:rsidRPr="00102297">
        <w:rPr>
          <w:rFonts w:asciiTheme="majorBidi" w:hAnsiTheme="majorBidi" w:cstheme="majorBidi"/>
          <w:sz w:val="24"/>
          <w:szCs w:val="24"/>
          <w:rtl/>
        </w:rPr>
        <w:t>לידי פרסום</w:t>
      </w:r>
      <w:r w:rsidR="00EE7E23" w:rsidRPr="00102297">
        <w:rPr>
          <w:rFonts w:asciiTheme="majorBidi" w:hAnsiTheme="majorBidi" w:cstheme="majorBidi"/>
          <w:sz w:val="24"/>
          <w:szCs w:val="24"/>
        </w:rPr>
        <w:t>.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E7E23" w:rsidRPr="00102297" w:rsidRDefault="00EE7E23" w:rsidP="00934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>הדרך לפרסום ארוכה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,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ומורכבת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ממספר רב של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שלבים, שראוי ל</w:t>
      </w:r>
      <w:r w:rsidR="000B4930" w:rsidRPr="00102297">
        <w:rPr>
          <w:rFonts w:asciiTheme="majorBidi" w:hAnsiTheme="majorBidi" w:cstheme="majorBidi" w:hint="cs"/>
          <w:sz w:val="24"/>
          <w:szCs w:val="24"/>
          <w:rtl/>
        </w:rPr>
        <w:t>ה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כירם, ו</w:t>
      </w:r>
      <w:r w:rsidRPr="00102297">
        <w:rPr>
          <w:rFonts w:asciiTheme="majorBidi" w:hAnsiTheme="majorBidi" w:cstheme="majorBidi"/>
          <w:sz w:val="24"/>
          <w:szCs w:val="24"/>
          <w:rtl/>
        </w:rPr>
        <w:t>היא כוללת שאלות, התלבטויות והחלטות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 xml:space="preserve"> רבות</w:t>
      </w:r>
      <w:r w:rsidR="000B4930" w:rsidRPr="0010229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102297">
        <w:rPr>
          <w:rFonts w:asciiTheme="majorBidi" w:hAnsiTheme="majorBidi" w:cstheme="majorBidi"/>
          <w:sz w:val="24"/>
          <w:szCs w:val="24"/>
          <w:rtl/>
        </w:rPr>
        <w:t>אלה רלוונטיות גם למפרסמים וגם לאלה המשתמשים באופן קבוע בדוחות החפירה.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 xml:space="preserve"> מטרת הקורס היא להיחשף לתהליך הפרסום הקרמי הן כחוקר, 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ה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מפרסם דוח חפירה, והן כחוקר הקורא בביקורתיות בדוחות.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5414E" w:rsidRPr="00102297" w:rsidRDefault="000B4930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תוצרי למידה</w:t>
      </w:r>
      <w:r w:rsidR="00F5414E"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5414E" w:rsidRPr="00102297" w:rsidRDefault="000B4930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>לשפר את היכולת לקרוא ולהבין דוחות חפירה ארכיאולוגיים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B4930" w:rsidRPr="00102297" w:rsidRDefault="000B4930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להכיר את הדרך 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 xml:space="preserve">הפרשנית 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הארוכה אותה עובר הממצא הקרמי מהשדה לפרסום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B4930" w:rsidRPr="00102297" w:rsidRDefault="000B4930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>לפרסם מחדש ממצא קרמי מדוחות חפירה שפורסמו בצורה לא טובה, ולהפיק מכך מסקנות חדשות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B4930" w:rsidRPr="00102297" w:rsidRDefault="000B4930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>לפרסם מכלולי חרס קטנים</w:t>
      </w:r>
      <w:r w:rsidR="0040615A" w:rsidRPr="0010229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32165" w:rsidRPr="00102297" w:rsidRDefault="00332165" w:rsidP="0040615A">
      <w:pPr>
        <w:spacing w:after="0" w:line="240" w:lineRule="auto"/>
        <w:ind w:left="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ב. תוכן הקורס:</w:t>
      </w:r>
    </w:p>
    <w:p w:rsidR="00B3163E" w:rsidRPr="00102297" w:rsidRDefault="00F5414E" w:rsidP="00B3163E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רציונל</w:t>
      </w:r>
      <w:r w:rsidR="00B3163E" w:rsidRPr="00102297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הקורס</w:t>
      </w:r>
    </w:p>
    <w:p w:rsidR="00B3163E" w:rsidRPr="00102297" w:rsidRDefault="00B3163E" w:rsidP="009341FC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>במסגרת הקורס נפרק לגורמים את הדרך הארוכה ש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עובר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 המכלול הקרמי בדרכו מהשדה לדוח. נכיר את המרכיבים השונים בהליך העבודה של הארכיאולוג, ונלמד לזהות את הפרשנות של הארכיאולוג בעת הפרסום. נבחן באופן ביקורתי דוחות חפירה ישנ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ים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 ונתנסה בפרסום מחודש של 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ממצאים מ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דוח 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כזה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B3163E" w:rsidRPr="00102297" w:rsidRDefault="00F5414E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מהלך השיעורים</w:t>
      </w:r>
    </w:p>
    <w:p w:rsidR="00332165" w:rsidRPr="00102297" w:rsidRDefault="00332165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השיעורים ילוו במצגות </w:t>
      </w:r>
      <w:proofErr w:type="spellStart"/>
      <w:r w:rsidRPr="00102297">
        <w:rPr>
          <w:rFonts w:asciiTheme="majorBidi" w:hAnsiTheme="majorBidi" w:cstheme="majorBidi"/>
          <w:sz w:val="24"/>
          <w:szCs w:val="24"/>
        </w:rPr>
        <w:t>Powerpoint</w:t>
      </w:r>
      <w:proofErr w:type="spellEnd"/>
      <w:r w:rsidRPr="00102297">
        <w:rPr>
          <w:rFonts w:asciiTheme="majorBidi" w:hAnsiTheme="majorBidi" w:cstheme="majorBidi" w:hint="cs"/>
          <w:sz w:val="24"/>
          <w:szCs w:val="24"/>
          <w:rtl/>
        </w:rPr>
        <w:t>, אך עיקרם יהיה דיון ובחינה של הנושאים הנלמדים בקורס בדוחות החפירה. יתר על כן, נשתמש באוסף הקרמי של המחלקה להמחשת הדרך בה פועל הארכיאולוג בעת פרסום הממצא הקרמי.</w:t>
      </w:r>
    </w:p>
    <w:p w:rsidR="006249D8" w:rsidRPr="00102297" w:rsidRDefault="006249D8" w:rsidP="00060057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כל תלמיד יבחר </w:t>
      </w:r>
      <w:r w:rsidR="00060057" w:rsidRPr="00102297">
        <w:rPr>
          <w:rFonts w:asciiTheme="majorBidi" w:hAnsiTheme="majorBidi" w:cstheme="majorBidi" w:hint="cs"/>
          <w:sz w:val="24"/>
          <w:szCs w:val="24"/>
          <w:rtl/>
        </w:rPr>
        <w:t xml:space="preserve">מאמר קרמי וכן 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דוח סופי של חפירה ארכיאולוגית, שילוו</w:t>
      </w:r>
      <w:r w:rsidR="00060057" w:rsidRPr="001022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אותו במהלך הקורס. בכל מפגש יבחן התלמיד את ה</w:t>
      </w:r>
      <w:r w:rsidR="00060057" w:rsidRPr="00102297">
        <w:rPr>
          <w:rFonts w:asciiTheme="majorBidi" w:hAnsiTheme="majorBidi" w:cstheme="majorBidi" w:hint="cs"/>
          <w:sz w:val="24"/>
          <w:szCs w:val="24"/>
          <w:rtl/>
        </w:rPr>
        <w:t>מאמר ו</w:t>
      </w:r>
      <w:r w:rsidR="009341FC">
        <w:rPr>
          <w:rFonts w:asciiTheme="majorBidi" w:hAnsiTheme="majorBidi" w:cstheme="majorBidi" w:hint="cs"/>
          <w:sz w:val="24"/>
          <w:szCs w:val="24"/>
          <w:rtl/>
        </w:rPr>
        <w:t>את ה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>דוח שנבחר</w:t>
      </w:r>
      <w:r w:rsidR="00060057" w:rsidRPr="00102297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 במבט ביקורתי (ל</w:t>
      </w:r>
      <w:r w:rsidR="00060057" w:rsidRPr="00102297">
        <w:rPr>
          <w:rFonts w:asciiTheme="majorBidi" w:hAnsiTheme="majorBidi" w:cstheme="majorBidi" w:hint="cs"/>
          <w:sz w:val="24"/>
          <w:szCs w:val="24"/>
          <w:rtl/>
        </w:rPr>
        <w:t>אור</w:t>
      </w:r>
      <w:r w:rsidRPr="00102297">
        <w:rPr>
          <w:rFonts w:asciiTheme="majorBidi" w:hAnsiTheme="majorBidi" w:cstheme="majorBidi" w:hint="cs"/>
          <w:sz w:val="24"/>
          <w:szCs w:val="24"/>
          <w:rtl/>
        </w:rPr>
        <w:t xml:space="preserve"> הנושאים הנלמדים בשיעור). </w:t>
      </w:r>
    </w:p>
    <w:p w:rsidR="00332165" w:rsidRPr="00102297" w:rsidRDefault="00332165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F5414E" w:rsidRPr="00102297" w:rsidRDefault="00F5414E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>ת</w:t>
      </w:r>
      <w:r w:rsidR="00B3163E" w:rsidRPr="00102297">
        <w:rPr>
          <w:rFonts w:asciiTheme="majorBidi" w:hAnsiTheme="majorBidi" w:cstheme="majorBidi"/>
          <w:sz w:val="24"/>
          <w:szCs w:val="24"/>
          <w:u w:val="single"/>
          <w:rtl/>
        </w:rPr>
        <w:t>כנית הוראה מפורטת לכל השיעורים</w:t>
      </w:r>
    </w:p>
    <w:p w:rsidR="00060057" w:rsidRPr="00102297" w:rsidRDefault="00060057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5315"/>
      </w:tblGrid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69" w:rsidRPr="00102297" w:rsidRDefault="00CE7269" w:rsidP="004061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מס' השיעור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69" w:rsidRPr="00102297" w:rsidRDefault="00CE7269" w:rsidP="004061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נושא השיעור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מבוא </w:t>
            </w: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למה אנחנו חוקרים קרמיקה?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9341FC" w:rsidP="009341F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מהשדה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ועד לתום עבודת </w:t>
            </w:r>
            <w:r w:rsidR="00CE7269"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הרפאות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06005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קרמיקה וסטרטיגרפיה: הילכו שני</w:t>
            </w: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>ה</w:t>
            </w: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ם יחד</w:t>
            </w: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>יו</w:t>
            </w: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בלתי אם נועדו?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CE7269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>מכלול חרסים לעומת מכלול של כלים שלמים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הכנת לוחות לפרסום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טיפולוגיה קרמית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כרונולוגיה</w:t>
            </w: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(יחסית ואבסולוטית)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מחקרים מתקדמים בקרמיקה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06005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למה עשינו את כל זה?</w:t>
            </w:r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מחקרים חברתיים, כלכליים והיסטוריים</w:t>
            </w:r>
          </w:p>
        </w:tc>
      </w:tr>
      <w:tr w:rsidR="00CE7269" w:rsidRPr="00102297" w:rsidTr="00CE72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406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2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9" w:rsidRPr="00102297" w:rsidRDefault="00CE7269" w:rsidP="0006005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אקסקורסוס</w:t>
            </w:r>
            <w:proofErr w:type="spellEnd"/>
            <w:r w:rsidRPr="001022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Pr="00102297">
              <w:rPr>
                <w:rFonts w:asciiTheme="majorBidi" w:hAnsiTheme="majorBidi" w:cstheme="majorBidi"/>
                <w:sz w:val="24"/>
                <w:szCs w:val="24"/>
                <w:rtl/>
              </w:rPr>
              <w:t>קרמיקה מסקרים ארכיאולוגיים</w:t>
            </w:r>
          </w:p>
        </w:tc>
      </w:tr>
    </w:tbl>
    <w:p w:rsidR="00F5414E" w:rsidRPr="00102297" w:rsidRDefault="00F5414E" w:rsidP="0040615A">
      <w:pPr>
        <w:spacing w:after="0" w:line="240" w:lineRule="auto"/>
        <w:ind w:left="26"/>
        <w:rPr>
          <w:rFonts w:asciiTheme="majorBidi" w:hAnsiTheme="majorBidi" w:cstheme="majorBidi"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ג. דרישות קדם: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5414E" w:rsidRPr="00FF69AF" w:rsidRDefault="00F5414E" w:rsidP="00FF69AF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FF69AF">
        <w:rPr>
          <w:rFonts w:asciiTheme="majorBidi" w:hAnsiTheme="majorBidi" w:cstheme="majorBidi"/>
          <w:sz w:val="24"/>
          <w:szCs w:val="24"/>
          <w:u w:val="single"/>
          <w:rtl/>
        </w:rPr>
        <w:t>רצוי</w:t>
      </w:r>
      <w:r w:rsidRPr="00FF69AF">
        <w:rPr>
          <w:rFonts w:asciiTheme="majorBidi" w:hAnsiTheme="majorBidi" w:cstheme="majorBidi"/>
          <w:sz w:val="24"/>
          <w:szCs w:val="24"/>
          <w:rtl/>
        </w:rPr>
        <w:t xml:space="preserve"> להגיע לקורס אחרי לימוד </w:t>
      </w:r>
      <w:r w:rsidR="00721996" w:rsidRPr="00FF69AF">
        <w:rPr>
          <w:rFonts w:asciiTheme="majorBidi" w:hAnsiTheme="majorBidi" w:cstheme="majorBidi"/>
          <w:sz w:val="24"/>
          <w:szCs w:val="24"/>
          <w:rtl/>
        </w:rPr>
        <w:t>ה</w:t>
      </w:r>
      <w:r w:rsidRPr="00FF69AF">
        <w:rPr>
          <w:rFonts w:asciiTheme="majorBidi" w:hAnsiTheme="majorBidi" w:cstheme="majorBidi"/>
          <w:sz w:val="24"/>
          <w:szCs w:val="24"/>
          <w:rtl/>
        </w:rPr>
        <w:t>קורסי</w:t>
      </w:r>
      <w:r w:rsidR="00721996" w:rsidRPr="00FF69AF">
        <w:rPr>
          <w:rFonts w:asciiTheme="majorBidi" w:hAnsiTheme="majorBidi" w:cstheme="majorBidi"/>
          <w:sz w:val="24"/>
          <w:szCs w:val="24"/>
          <w:rtl/>
        </w:rPr>
        <w:t>ם: "</w:t>
      </w:r>
      <w:r w:rsidRPr="00FF69AF">
        <w:rPr>
          <w:rFonts w:asciiTheme="majorBidi" w:hAnsiTheme="majorBidi" w:cstheme="majorBidi"/>
          <w:sz w:val="24"/>
          <w:szCs w:val="24"/>
          <w:rtl/>
        </w:rPr>
        <w:t>קרמיקה קדומה"</w:t>
      </w:r>
      <w:r w:rsidR="00721996" w:rsidRPr="00FF69AF">
        <w:rPr>
          <w:rFonts w:asciiTheme="majorBidi" w:hAnsiTheme="majorBidi" w:cstheme="majorBidi"/>
          <w:sz w:val="24"/>
          <w:szCs w:val="24"/>
          <w:rtl/>
        </w:rPr>
        <w:t xml:space="preserve"> ו"</w:t>
      </w:r>
      <w:r w:rsidR="00FF69AF" w:rsidRPr="00FF69AF">
        <w:rPr>
          <w:rFonts w:asciiTheme="majorBidi" w:hAnsiTheme="majorBidi" w:cstheme="majorBidi" w:hint="cs"/>
          <w:sz w:val="24"/>
          <w:szCs w:val="24"/>
          <w:rtl/>
        </w:rPr>
        <w:t xml:space="preserve">כלי חרס בארץ ישראל בתקופות ההלניסטית, רומית וביזנטית". </w:t>
      </w:r>
    </w:p>
    <w:p w:rsidR="00F5414E" w:rsidRPr="00102297" w:rsidRDefault="00F5414E" w:rsidP="0040615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ד. חובות / דרישות / מטלות:</w:t>
      </w: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בקורס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זה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יש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חובת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נוכחות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בכל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השיעורים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>, ש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תיבדק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מדי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שיעור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.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ת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למיד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שייעדר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מעל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שתי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הרצאות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ללא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סיבה</w:t>
      </w:r>
      <w:r w:rsidRPr="00102297">
        <w:rPr>
          <w:rFonts w:asciiTheme="majorBidi" w:hAnsiTheme="majorBidi" w:cstheme="majorBidi"/>
          <w:color w:val="212121"/>
          <w:sz w:val="24"/>
          <w:szCs w:val="24"/>
          <w:u w:val="single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u w:val="single"/>
          <w:rtl/>
        </w:rPr>
        <w:t>מוצדקת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לא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יורשה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להגיש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את עבודת הסיכום, ולא יקבל ציון </w:t>
      </w:r>
      <w:r w:rsidRPr="00102297">
        <w:rPr>
          <w:rFonts w:asciiTheme="majorBidi" w:eastAsia="Tahoma" w:hAnsiTheme="majorBidi" w:cstheme="majorBidi"/>
          <w:color w:val="212121"/>
          <w:sz w:val="24"/>
          <w:szCs w:val="24"/>
          <w:rtl/>
        </w:rPr>
        <w:t>בקורס</w:t>
      </w:r>
      <w:r w:rsidRPr="00102297">
        <w:rPr>
          <w:rFonts w:asciiTheme="majorBidi" w:hAnsiTheme="majorBidi" w:cstheme="majorBidi"/>
          <w:color w:val="212121"/>
          <w:sz w:val="24"/>
          <w:szCs w:val="24"/>
          <w:rtl/>
        </w:rPr>
        <w:t>.</w:t>
      </w: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ה. מרכיבי הציון הסופי:</w:t>
      </w: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>100% עבודת סיכום</w:t>
      </w:r>
    </w:p>
    <w:p w:rsidR="00F5414E" w:rsidRPr="00102297" w:rsidRDefault="00F5414E" w:rsidP="004061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ind w:left="26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ו. ביבליוגרפיה</w:t>
      </w:r>
      <w:r w:rsidR="00784739" w:rsidRPr="0010229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(קריאה מומלצת)</w:t>
      </w:r>
      <w:r w:rsidRPr="00102297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:</w:t>
      </w:r>
    </w:p>
    <w:p w:rsidR="00F909BC" w:rsidRPr="00102297" w:rsidRDefault="00F909BC" w:rsidP="00CE7269">
      <w:pPr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102297">
        <w:rPr>
          <w:rFonts w:asciiTheme="majorBidi" w:hAnsiTheme="majorBidi" w:cstheme="majorBidi"/>
          <w:rtl/>
        </w:rPr>
        <w:t xml:space="preserve">א. </w:t>
      </w:r>
      <w:r w:rsidR="00532DF1" w:rsidRPr="00102297">
        <w:rPr>
          <w:rFonts w:asciiTheme="majorBidi" w:hAnsiTheme="majorBidi" w:cstheme="majorBidi" w:hint="cs"/>
          <w:u w:val="single"/>
          <w:rtl/>
        </w:rPr>
        <w:t>כללי</w:t>
      </w:r>
    </w:p>
    <w:p w:rsidR="00F909BC" w:rsidRPr="00102297" w:rsidRDefault="00F909BC" w:rsidP="00CE72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 xml:space="preserve">גונן, ר. 1979. 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כלי חרס עתיקים</w:t>
      </w:r>
      <w:r w:rsidRPr="00102297">
        <w:rPr>
          <w:rFonts w:asciiTheme="majorBidi" w:hAnsiTheme="majorBidi" w:cstheme="majorBidi"/>
          <w:sz w:val="24"/>
          <w:szCs w:val="24"/>
          <w:rtl/>
        </w:rPr>
        <w:t>. ירושלים.</w:t>
      </w:r>
    </w:p>
    <w:p w:rsidR="00532DF1" w:rsidRPr="00102297" w:rsidRDefault="00532DF1" w:rsidP="00CE72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Theme="majorBidi" w:eastAsia="MS Gothic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 xml:space="preserve">גורן, י. תשנ"ז. עקרונות המחקר </w:t>
      </w:r>
      <w:proofErr w:type="spellStart"/>
      <w:r w:rsidRPr="00102297">
        <w:rPr>
          <w:rFonts w:asciiTheme="majorBidi" w:hAnsiTheme="majorBidi" w:cstheme="majorBidi"/>
          <w:sz w:val="24"/>
          <w:szCs w:val="24"/>
          <w:rtl/>
        </w:rPr>
        <w:t>הפטרוגרפי</w:t>
      </w:r>
      <w:proofErr w:type="spellEnd"/>
      <w:r w:rsidRPr="00102297">
        <w:rPr>
          <w:rFonts w:asciiTheme="majorBidi" w:hAnsiTheme="majorBidi" w:cstheme="majorBidi"/>
          <w:sz w:val="24"/>
          <w:szCs w:val="24"/>
          <w:rtl/>
        </w:rPr>
        <w:t xml:space="preserve"> של ממצאים ארכיאולוגיים ויישום השיטה בארכיאולוגיה של</w:t>
      </w:r>
      <w:r w:rsidRPr="00102297">
        <w:rPr>
          <w:rFonts w:asciiTheme="majorBidi" w:hAnsiTheme="majorBidi" w:cstheme="majorBidi"/>
          <w:sz w:val="24"/>
          <w:szCs w:val="24"/>
        </w:rPr>
        <w:t xml:space="preserve"> </w:t>
      </w:r>
      <w:r w:rsidRPr="00102297">
        <w:rPr>
          <w:rFonts w:asciiTheme="majorBidi" w:hAnsiTheme="majorBidi" w:cstheme="majorBidi"/>
          <w:sz w:val="24"/>
          <w:szCs w:val="24"/>
          <w:rtl/>
        </w:rPr>
        <w:t>ארץ-ישראל</w:t>
      </w:r>
      <w:r w:rsidRPr="00102297">
        <w:rPr>
          <w:rFonts w:asciiTheme="majorBidi" w:eastAsia="MS Gothic" w:hAnsiTheme="majorBidi" w:cstheme="majorBidi"/>
          <w:sz w:val="24"/>
          <w:szCs w:val="24"/>
          <w:rtl/>
        </w:rPr>
        <w:t xml:space="preserve">. </w:t>
      </w:r>
      <w:r w:rsidRPr="00102297">
        <w:rPr>
          <w:rFonts w:asciiTheme="majorBidi" w:eastAsia="MS Gothic" w:hAnsiTheme="majorBidi" w:cstheme="majorBidi"/>
          <w:b/>
          <w:bCs/>
          <w:sz w:val="24"/>
          <w:szCs w:val="24"/>
          <w:rtl/>
        </w:rPr>
        <w:t>קדמוניות</w:t>
      </w:r>
      <w:r w:rsidRPr="00102297">
        <w:rPr>
          <w:rFonts w:asciiTheme="majorBidi" w:eastAsia="MS Gothic" w:hAnsiTheme="majorBidi" w:cstheme="majorBidi"/>
          <w:sz w:val="24"/>
          <w:szCs w:val="24"/>
          <w:rtl/>
        </w:rPr>
        <w:t xml:space="preserve"> 112: 115-107</w:t>
      </w:r>
      <w:r w:rsidRPr="00102297">
        <w:rPr>
          <w:rFonts w:asciiTheme="majorBidi" w:eastAsia="MS Gothic" w:hAnsiTheme="majorBidi" w:cstheme="majorBidi"/>
          <w:sz w:val="24"/>
          <w:szCs w:val="24"/>
        </w:rPr>
        <w:t>‬</w:t>
      </w:r>
    </w:p>
    <w:p w:rsidR="00F909BC" w:rsidRPr="00102297" w:rsidRDefault="00F909BC" w:rsidP="00CE72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 xml:space="preserve">וועד הלשון העברית. תש"י. 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מלון למנחי הקדרות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. ירושלים. </w:t>
      </w:r>
    </w:p>
    <w:p w:rsidR="00F909BC" w:rsidRPr="00102297" w:rsidRDefault="00F909BC" w:rsidP="00CE72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 xml:space="preserve">ללא מחבר. תש"ט. כיצד יש לתאר כלי חרס. 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עלון מחלקת העתיקות של מדינת ישראל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א:</w:t>
      </w:r>
      <w:r w:rsidR="00784739" w:rsidRPr="001022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17-10.</w:t>
      </w:r>
      <w:r w:rsidRPr="00102297">
        <w:rPr>
          <w:rFonts w:asciiTheme="majorBidi" w:hAnsiTheme="majorBidi" w:cstheme="majorBidi"/>
          <w:sz w:val="24"/>
          <w:szCs w:val="24"/>
        </w:rPr>
        <w:t xml:space="preserve"> </w:t>
      </w:r>
    </w:p>
    <w:p w:rsidR="00532DF1" w:rsidRPr="00102297" w:rsidRDefault="00532DF1" w:rsidP="00CE7269">
      <w:pPr>
        <w:pStyle w:val="a3"/>
        <w:numPr>
          <w:ilvl w:val="0"/>
          <w:numId w:val="5"/>
        </w:numPr>
        <w:bidi w:val="0"/>
        <w:spacing w:after="0"/>
        <w:ind w:right="40"/>
        <w:jc w:val="both"/>
        <w:rPr>
          <w:rFonts w:asciiTheme="majorBidi" w:hAnsiTheme="majorBidi" w:cstheme="majorBidi"/>
          <w:snapToGrid w:val="0"/>
          <w:lang w:eastAsia="en-US"/>
        </w:rPr>
      </w:pPr>
      <w:r w:rsidRPr="00102297">
        <w:rPr>
          <w:rFonts w:asciiTheme="majorBidi" w:hAnsiTheme="majorBidi" w:cstheme="majorBidi"/>
          <w:lang w:val="de-DE" w:eastAsia="en-US"/>
        </w:rPr>
        <w:t xml:space="preserve">Goren, Y. Finkelstein, I. and Na’aman, N. 2004. </w:t>
      </w:r>
      <w:r w:rsidRPr="00102297">
        <w:rPr>
          <w:rFonts w:asciiTheme="majorBidi" w:hAnsiTheme="majorBidi" w:cstheme="majorBidi"/>
          <w:i/>
          <w:iCs/>
          <w:lang w:eastAsia="en-US"/>
        </w:rPr>
        <w:t xml:space="preserve">Inscribed in Clay. </w:t>
      </w:r>
      <w:r w:rsidRPr="00102297">
        <w:rPr>
          <w:rFonts w:asciiTheme="majorBidi" w:hAnsiTheme="majorBidi" w:cstheme="majorBidi"/>
          <w:i/>
          <w:iCs/>
          <w:snapToGrid w:val="0"/>
          <w:lang w:eastAsia="en-US"/>
        </w:rPr>
        <w:t>Provenance Study of the Amarna Tablets and Other Ancient Near Eastern Texts</w:t>
      </w:r>
      <w:r w:rsidRPr="00102297">
        <w:rPr>
          <w:rFonts w:asciiTheme="majorBidi" w:hAnsiTheme="majorBidi" w:cstheme="majorBidi"/>
          <w:snapToGrid w:val="0"/>
          <w:lang w:eastAsia="en-US"/>
        </w:rPr>
        <w:t>. Tel Aviv.</w:t>
      </w:r>
    </w:p>
    <w:p w:rsidR="00F909BC" w:rsidRPr="00102297" w:rsidRDefault="00F909BC" w:rsidP="00CE7269">
      <w:pPr>
        <w:pStyle w:val="a3"/>
        <w:numPr>
          <w:ilvl w:val="0"/>
          <w:numId w:val="5"/>
        </w:numPr>
        <w:bidi w:val="0"/>
        <w:spacing w:after="0"/>
        <w:jc w:val="both"/>
        <w:rPr>
          <w:rFonts w:asciiTheme="majorBidi" w:hAnsiTheme="majorBidi" w:cstheme="majorBidi"/>
        </w:rPr>
      </w:pPr>
      <w:r w:rsidRPr="00102297">
        <w:rPr>
          <w:rFonts w:asciiTheme="majorBidi" w:hAnsiTheme="majorBidi" w:cstheme="majorBidi"/>
        </w:rPr>
        <w:t xml:space="preserve">Orton, C, </w:t>
      </w:r>
      <w:proofErr w:type="spellStart"/>
      <w:r w:rsidRPr="00102297">
        <w:rPr>
          <w:rFonts w:asciiTheme="majorBidi" w:hAnsiTheme="majorBidi" w:cstheme="majorBidi"/>
        </w:rPr>
        <w:t>Tyers</w:t>
      </w:r>
      <w:proofErr w:type="spellEnd"/>
      <w:r w:rsidRPr="00102297">
        <w:rPr>
          <w:rFonts w:asciiTheme="majorBidi" w:hAnsiTheme="majorBidi" w:cstheme="majorBidi"/>
        </w:rPr>
        <w:t xml:space="preserve">, P. and Vince, A. 2005. </w:t>
      </w:r>
      <w:r w:rsidRPr="00102297">
        <w:rPr>
          <w:rFonts w:asciiTheme="majorBidi" w:hAnsiTheme="majorBidi" w:cstheme="majorBidi"/>
          <w:i/>
          <w:iCs/>
        </w:rPr>
        <w:t>Pottery in Archaeology</w:t>
      </w:r>
      <w:r w:rsidRPr="00102297">
        <w:rPr>
          <w:rFonts w:asciiTheme="majorBidi" w:hAnsiTheme="majorBidi" w:cstheme="majorBidi"/>
        </w:rPr>
        <w:t>. Cambridge.</w:t>
      </w:r>
    </w:p>
    <w:p w:rsidR="00CE7269" w:rsidRPr="00102297" w:rsidRDefault="00CE7269" w:rsidP="00CE7269">
      <w:pPr>
        <w:pStyle w:val="a5"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hAnsiTheme="majorBidi" w:cstheme="majorBidi"/>
          <w:sz w:val="24"/>
          <w:szCs w:val="24"/>
        </w:rPr>
        <w:t xml:space="preserve">Panitz-Cohen, N. 2006. </w:t>
      </w:r>
      <w:r w:rsidRPr="00102297">
        <w:rPr>
          <w:rFonts w:asciiTheme="majorBidi" w:hAnsiTheme="majorBidi" w:cstheme="majorBidi"/>
          <w:i/>
          <w:iCs/>
          <w:sz w:val="24"/>
          <w:szCs w:val="24"/>
        </w:rPr>
        <w:t xml:space="preserve">Processes of Ceramic Change and Continuity: Tel </w:t>
      </w:r>
      <w:proofErr w:type="spellStart"/>
      <w:r w:rsidRPr="00102297">
        <w:rPr>
          <w:rFonts w:asciiTheme="majorBidi" w:hAnsiTheme="majorBidi" w:cstheme="majorBidi"/>
          <w:i/>
          <w:iCs/>
          <w:sz w:val="24"/>
          <w:szCs w:val="24"/>
        </w:rPr>
        <w:t>Batash</w:t>
      </w:r>
      <w:proofErr w:type="spellEnd"/>
      <w:r w:rsidRPr="00102297">
        <w:rPr>
          <w:rFonts w:asciiTheme="majorBidi" w:hAnsiTheme="majorBidi" w:cstheme="majorBidi"/>
          <w:i/>
          <w:iCs/>
          <w:sz w:val="24"/>
          <w:szCs w:val="24"/>
        </w:rPr>
        <w:t xml:space="preserve"> in the Second Millennium BCE as a Test Case</w:t>
      </w:r>
      <w:r w:rsidRPr="00102297">
        <w:rPr>
          <w:rFonts w:asciiTheme="majorBidi" w:hAnsiTheme="majorBidi" w:cstheme="majorBidi"/>
          <w:sz w:val="24"/>
          <w:szCs w:val="24"/>
        </w:rPr>
        <w:t>. (Ph.D. dissertation). Jerusalem.</w:t>
      </w:r>
    </w:p>
    <w:p w:rsidR="00F909BC" w:rsidRPr="00102297" w:rsidRDefault="00F909BC" w:rsidP="00CE7269">
      <w:pPr>
        <w:pStyle w:val="a5"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hAnsiTheme="majorBidi" w:cstheme="majorBidi"/>
          <w:sz w:val="24"/>
          <w:szCs w:val="24"/>
        </w:rPr>
        <w:t xml:space="preserve">Rice, P.M. 1987.  </w:t>
      </w:r>
      <w:r w:rsidRPr="00102297">
        <w:rPr>
          <w:rFonts w:asciiTheme="majorBidi" w:hAnsiTheme="majorBidi" w:cstheme="majorBidi"/>
          <w:i/>
          <w:iCs/>
          <w:sz w:val="24"/>
          <w:szCs w:val="24"/>
        </w:rPr>
        <w:t>Pottery Analysis: A Sourcebook</w:t>
      </w:r>
      <w:r w:rsidRPr="00102297">
        <w:rPr>
          <w:rFonts w:asciiTheme="majorBidi" w:hAnsiTheme="majorBidi" w:cstheme="majorBidi"/>
          <w:sz w:val="24"/>
          <w:szCs w:val="24"/>
        </w:rPr>
        <w:t>. Chicago.</w:t>
      </w:r>
    </w:p>
    <w:p w:rsidR="00F909BC" w:rsidRPr="00102297" w:rsidRDefault="00F909BC" w:rsidP="00CE7269">
      <w:pPr>
        <w:pStyle w:val="a5"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2297">
        <w:rPr>
          <w:rFonts w:asciiTheme="majorBidi" w:hAnsiTheme="majorBidi" w:cstheme="majorBidi"/>
          <w:sz w:val="24"/>
          <w:szCs w:val="24"/>
        </w:rPr>
        <w:t>Skibo</w:t>
      </w:r>
      <w:proofErr w:type="spellEnd"/>
      <w:r w:rsidRPr="00102297">
        <w:rPr>
          <w:rFonts w:asciiTheme="majorBidi" w:hAnsiTheme="majorBidi" w:cstheme="majorBidi"/>
          <w:sz w:val="24"/>
          <w:szCs w:val="24"/>
        </w:rPr>
        <w:t xml:space="preserve">, J.M. 1992. </w:t>
      </w:r>
      <w:r w:rsidRPr="00102297">
        <w:rPr>
          <w:rFonts w:asciiTheme="majorBidi" w:hAnsiTheme="majorBidi" w:cstheme="majorBidi"/>
          <w:i/>
          <w:iCs/>
          <w:sz w:val="24"/>
          <w:szCs w:val="24"/>
        </w:rPr>
        <w:t>Pottery Function</w:t>
      </w:r>
      <w:r w:rsidRPr="00102297">
        <w:rPr>
          <w:rFonts w:asciiTheme="majorBidi" w:hAnsiTheme="majorBidi" w:cstheme="majorBidi"/>
          <w:sz w:val="24"/>
          <w:szCs w:val="24"/>
        </w:rPr>
        <w:t>. New York and London.</w:t>
      </w:r>
    </w:p>
    <w:p w:rsidR="00F909BC" w:rsidRPr="00102297" w:rsidRDefault="00F909BC" w:rsidP="00CE7269">
      <w:pPr>
        <w:pStyle w:val="a3"/>
        <w:numPr>
          <w:ilvl w:val="0"/>
          <w:numId w:val="5"/>
        </w:numPr>
        <w:bidi w:val="0"/>
        <w:spacing w:after="0"/>
        <w:jc w:val="both"/>
        <w:rPr>
          <w:rFonts w:asciiTheme="majorBidi" w:hAnsiTheme="majorBidi" w:cstheme="majorBidi"/>
        </w:rPr>
      </w:pPr>
      <w:r w:rsidRPr="00102297">
        <w:rPr>
          <w:rFonts w:asciiTheme="majorBidi" w:hAnsiTheme="majorBidi" w:cstheme="majorBidi"/>
        </w:rPr>
        <w:t xml:space="preserve">Wood, B.G. 1990. </w:t>
      </w:r>
      <w:r w:rsidRPr="00102297">
        <w:rPr>
          <w:rFonts w:asciiTheme="majorBidi" w:hAnsiTheme="majorBidi" w:cstheme="majorBidi"/>
          <w:i/>
          <w:iCs/>
        </w:rPr>
        <w:t>The Sociology of Pottery in Ancient Palestine. The Ceramic Industry and the Diffusion of Ceramic Style in the Bronze and Iron Ages</w:t>
      </w:r>
      <w:r w:rsidRPr="00102297">
        <w:rPr>
          <w:rFonts w:asciiTheme="majorBidi" w:hAnsiTheme="majorBidi" w:cstheme="majorBidi"/>
        </w:rPr>
        <w:t xml:space="preserve">. (JSOT Sup. Series 103). Sheffield. </w:t>
      </w:r>
    </w:p>
    <w:p w:rsidR="00F909BC" w:rsidRPr="00102297" w:rsidRDefault="00F909BC" w:rsidP="00CE726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9BC" w:rsidRPr="00102297" w:rsidRDefault="00F909BC" w:rsidP="00CE72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Pr="00102297">
        <w:rPr>
          <w:rFonts w:asciiTheme="majorBidi" w:hAnsiTheme="majorBidi" w:cstheme="majorBidi"/>
          <w:sz w:val="24"/>
          <w:szCs w:val="24"/>
          <w:u w:val="single"/>
          <w:rtl/>
        </w:rPr>
        <w:t xml:space="preserve">קורפוסים </w:t>
      </w:r>
      <w:r w:rsidR="00532DF1" w:rsidRPr="00102297">
        <w:rPr>
          <w:rFonts w:asciiTheme="majorBidi" w:hAnsiTheme="majorBidi" w:cstheme="majorBidi" w:hint="cs"/>
          <w:sz w:val="24"/>
          <w:szCs w:val="24"/>
          <w:u w:val="single"/>
          <w:rtl/>
        </w:rPr>
        <w:t>קרמיים</w:t>
      </w:r>
    </w:p>
    <w:p w:rsidR="00F909BC" w:rsidRPr="00102297" w:rsidRDefault="00F909BC" w:rsidP="00CE726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02297">
        <w:rPr>
          <w:rFonts w:asciiTheme="majorBidi" w:hAnsiTheme="majorBidi" w:cstheme="majorBidi"/>
          <w:sz w:val="24"/>
          <w:szCs w:val="24"/>
          <w:rtl/>
        </w:rPr>
        <w:t>עמירן</w:t>
      </w:r>
      <w:proofErr w:type="spellEnd"/>
      <w:r w:rsidRPr="00102297">
        <w:rPr>
          <w:rFonts w:asciiTheme="majorBidi" w:hAnsiTheme="majorBidi" w:cstheme="majorBidi"/>
          <w:sz w:val="24"/>
          <w:szCs w:val="24"/>
          <w:rtl/>
        </w:rPr>
        <w:t xml:space="preserve">, ר. תשל"א. </w:t>
      </w:r>
      <w:proofErr w:type="spellStart"/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הקיראמיקה</w:t>
      </w:r>
      <w:proofErr w:type="spellEnd"/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הקדומה של ארץ-ישראל</w:t>
      </w:r>
      <w:r w:rsidRPr="00102297">
        <w:rPr>
          <w:rFonts w:asciiTheme="majorBidi" w:hAnsiTheme="majorBidi" w:cstheme="majorBidi"/>
          <w:sz w:val="24"/>
          <w:szCs w:val="24"/>
          <w:rtl/>
        </w:rPr>
        <w:t>. ירושלים.</w:t>
      </w:r>
    </w:p>
    <w:p w:rsidR="00F909BC" w:rsidRPr="00102297" w:rsidRDefault="00F909BC" w:rsidP="00CE7269">
      <w:pPr>
        <w:pStyle w:val="a3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</w:rPr>
      </w:pPr>
      <w:r w:rsidRPr="00102297">
        <w:rPr>
          <w:rFonts w:asciiTheme="majorBidi" w:hAnsiTheme="majorBidi" w:cstheme="majorBidi"/>
        </w:rPr>
        <w:t xml:space="preserve">Duncan, J.G. 1930. </w:t>
      </w:r>
      <w:r w:rsidRPr="00102297">
        <w:rPr>
          <w:rFonts w:asciiTheme="majorBidi" w:hAnsiTheme="majorBidi" w:cstheme="majorBidi"/>
          <w:i/>
          <w:iCs/>
        </w:rPr>
        <w:t>Corpus of Dated Palestinian Pottery</w:t>
      </w:r>
      <w:r w:rsidRPr="00102297">
        <w:rPr>
          <w:rFonts w:asciiTheme="majorBidi" w:hAnsiTheme="majorBidi" w:cstheme="majorBidi"/>
        </w:rPr>
        <w:t>. London.</w:t>
      </w:r>
    </w:p>
    <w:p w:rsidR="00F909BC" w:rsidRPr="00102297" w:rsidRDefault="00F909BC" w:rsidP="00CE7269">
      <w:pPr>
        <w:pStyle w:val="a3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</w:rPr>
      </w:pPr>
      <w:r w:rsidRPr="00102297">
        <w:rPr>
          <w:rFonts w:asciiTheme="majorBidi" w:hAnsiTheme="majorBidi" w:cstheme="majorBidi"/>
        </w:rPr>
        <w:t xml:space="preserve">Garfinkel, Y. 1999. </w:t>
      </w:r>
      <w:r w:rsidRPr="00102297">
        <w:rPr>
          <w:rFonts w:asciiTheme="majorBidi" w:hAnsiTheme="majorBidi" w:cstheme="majorBidi"/>
          <w:i/>
          <w:iCs/>
        </w:rPr>
        <w:t>Neolithic and Chalcolithic Pottery of the Southern Levant</w:t>
      </w:r>
      <w:r w:rsidRPr="00102297">
        <w:rPr>
          <w:rFonts w:asciiTheme="majorBidi" w:hAnsiTheme="majorBidi" w:cstheme="majorBidi"/>
        </w:rPr>
        <w:t xml:space="preserve"> (</w:t>
      </w:r>
      <w:proofErr w:type="spellStart"/>
      <w:r w:rsidRPr="00102297">
        <w:rPr>
          <w:rFonts w:asciiTheme="majorBidi" w:hAnsiTheme="majorBidi" w:cstheme="majorBidi"/>
        </w:rPr>
        <w:t>Qedem</w:t>
      </w:r>
      <w:proofErr w:type="spellEnd"/>
      <w:r w:rsidRPr="00102297">
        <w:rPr>
          <w:rFonts w:asciiTheme="majorBidi" w:hAnsiTheme="majorBidi" w:cstheme="majorBidi"/>
        </w:rPr>
        <w:t xml:space="preserve"> 39). Jerusalem.</w:t>
      </w:r>
    </w:p>
    <w:p w:rsidR="00551DAD" w:rsidRPr="00102297" w:rsidRDefault="005B1673" w:rsidP="00CE7269">
      <w:pPr>
        <w:pStyle w:val="a3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  <w:lang w:eastAsia="en-US"/>
        </w:rPr>
      </w:pPr>
      <w:r w:rsidRPr="00102297">
        <w:rPr>
          <w:rFonts w:asciiTheme="majorBidi" w:hAnsiTheme="majorBidi" w:cstheme="majorBidi"/>
          <w:lang w:eastAsia="en-US"/>
        </w:rPr>
        <w:t xml:space="preserve">Lapp, P.W. 1961. </w:t>
      </w:r>
      <w:r w:rsidRPr="00102297">
        <w:rPr>
          <w:rFonts w:asciiTheme="majorBidi" w:hAnsiTheme="majorBidi" w:cstheme="majorBidi"/>
          <w:i/>
          <w:iCs/>
          <w:lang w:eastAsia="en-US"/>
        </w:rPr>
        <w:t>Palestinian Ceramic Chronology 200 B.C. – A.D. 70</w:t>
      </w:r>
      <w:r w:rsidRPr="00102297">
        <w:rPr>
          <w:rFonts w:asciiTheme="majorBidi" w:hAnsiTheme="majorBidi" w:cstheme="majorBidi"/>
          <w:lang w:eastAsia="en-US"/>
        </w:rPr>
        <w:t>. Jerusalem.</w:t>
      </w:r>
    </w:p>
    <w:p w:rsidR="00F909BC" w:rsidRPr="00102297" w:rsidRDefault="00F909BC" w:rsidP="00CE7269">
      <w:pPr>
        <w:pStyle w:val="a3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</w:rPr>
      </w:pPr>
      <w:proofErr w:type="spellStart"/>
      <w:r w:rsidRPr="00102297">
        <w:rPr>
          <w:rFonts w:asciiTheme="majorBidi" w:hAnsiTheme="majorBidi" w:cstheme="majorBidi"/>
          <w:lang w:eastAsia="en-US"/>
        </w:rPr>
        <w:t>Zimhoni</w:t>
      </w:r>
      <w:proofErr w:type="spellEnd"/>
      <w:r w:rsidRPr="00102297">
        <w:rPr>
          <w:rFonts w:asciiTheme="majorBidi" w:hAnsiTheme="majorBidi" w:cstheme="majorBidi"/>
          <w:lang w:eastAsia="en-US"/>
        </w:rPr>
        <w:t xml:space="preserve">, O. 1997. </w:t>
      </w:r>
      <w:r w:rsidRPr="00102297">
        <w:rPr>
          <w:rFonts w:asciiTheme="majorBidi" w:hAnsiTheme="majorBidi" w:cstheme="majorBidi"/>
          <w:i/>
          <w:iCs/>
        </w:rPr>
        <w:t>Studies in the Iron Age Pottery of Israel: Typological, Archaeological, and Chronological Aspects</w:t>
      </w:r>
      <w:r w:rsidRPr="00102297">
        <w:rPr>
          <w:rFonts w:asciiTheme="majorBidi" w:hAnsiTheme="majorBidi" w:cstheme="majorBidi"/>
        </w:rPr>
        <w:t xml:space="preserve"> (Journal of the Institute of Archaeology of Tel Aviv University Occasional Publications 2). Tel Aviv.</w:t>
      </w:r>
    </w:p>
    <w:p w:rsidR="00F909BC" w:rsidRPr="00102297" w:rsidRDefault="00F909BC" w:rsidP="00CE7269">
      <w:pPr>
        <w:pStyle w:val="a3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  <w:rtl/>
        </w:rPr>
      </w:pPr>
      <w:proofErr w:type="spellStart"/>
      <w:r w:rsidRPr="00102297">
        <w:rPr>
          <w:rFonts w:asciiTheme="majorBidi" w:hAnsiTheme="majorBidi" w:cstheme="majorBidi"/>
        </w:rPr>
        <w:t>Gitin</w:t>
      </w:r>
      <w:proofErr w:type="spellEnd"/>
      <w:r w:rsidRPr="00102297">
        <w:rPr>
          <w:rFonts w:asciiTheme="majorBidi" w:hAnsiTheme="majorBidi" w:cstheme="majorBidi"/>
        </w:rPr>
        <w:t>, S. (</w:t>
      </w:r>
      <w:proofErr w:type="gramStart"/>
      <w:r w:rsidRPr="00102297">
        <w:rPr>
          <w:rFonts w:asciiTheme="majorBidi" w:hAnsiTheme="majorBidi" w:cstheme="majorBidi"/>
        </w:rPr>
        <w:t>ed</w:t>
      </w:r>
      <w:proofErr w:type="gramEnd"/>
      <w:r w:rsidRPr="00102297">
        <w:rPr>
          <w:rFonts w:asciiTheme="majorBidi" w:hAnsiTheme="majorBidi" w:cstheme="majorBidi"/>
        </w:rPr>
        <w:t xml:space="preserve">.). 2015. </w:t>
      </w:r>
      <w:r w:rsidRPr="00102297">
        <w:rPr>
          <w:rFonts w:asciiTheme="majorBidi" w:hAnsiTheme="majorBidi" w:cstheme="majorBidi"/>
          <w:i/>
          <w:iCs/>
        </w:rPr>
        <w:t>The Ancient Pottery of Israel and Its neighbors from the Iron Age through the Hellenistic Period</w:t>
      </w:r>
      <w:r w:rsidRPr="00102297">
        <w:rPr>
          <w:rFonts w:asciiTheme="majorBidi" w:hAnsiTheme="majorBidi" w:cstheme="majorBidi"/>
        </w:rPr>
        <w:t>.  Jerusalem.</w:t>
      </w:r>
    </w:p>
    <w:p w:rsidR="00F909BC" w:rsidRPr="00102297" w:rsidRDefault="00F909BC" w:rsidP="0040615A">
      <w:pPr>
        <w:pStyle w:val="a3"/>
        <w:bidi w:val="0"/>
        <w:spacing w:after="0"/>
        <w:ind w:left="720" w:hanging="720"/>
        <w:jc w:val="both"/>
        <w:rPr>
          <w:rFonts w:asciiTheme="majorBidi" w:hAnsiTheme="majorBidi" w:cstheme="majorBidi"/>
        </w:rPr>
      </w:pPr>
    </w:p>
    <w:p w:rsidR="00532DF1" w:rsidRPr="00102297" w:rsidRDefault="00532DF1" w:rsidP="004061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414E" w:rsidRPr="00102297" w:rsidRDefault="00F5414E" w:rsidP="0040615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ז.</w:t>
      </w:r>
      <w:r w:rsidRPr="0010229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2297">
        <w:rPr>
          <w:rFonts w:asciiTheme="majorBidi" w:hAnsiTheme="majorBidi" w:cstheme="majorBidi"/>
          <w:b/>
          <w:bCs/>
          <w:sz w:val="24"/>
          <w:szCs w:val="24"/>
          <w:rtl/>
        </w:rPr>
        <w:t>שם הקורס באנגלית</w:t>
      </w:r>
      <w:r w:rsidRPr="00102297">
        <w:rPr>
          <w:rFonts w:asciiTheme="majorBidi" w:hAnsiTheme="majorBidi" w:cstheme="majorBidi"/>
          <w:sz w:val="24"/>
          <w:szCs w:val="24"/>
          <w:rtl/>
        </w:rPr>
        <w:t>:</w:t>
      </w:r>
    </w:p>
    <w:p w:rsidR="006E7BAB" w:rsidRPr="00F909BC" w:rsidRDefault="006E7BAB" w:rsidP="0040615A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2297">
        <w:rPr>
          <w:rFonts w:asciiTheme="majorBidi" w:hAnsiTheme="majorBidi" w:cstheme="majorBidi"/>
          <w:sz w:val="24"/>
          <w:szCs w:val="24"/>
        </w:rPr>
        <w:t>Processing and Publishing Ancient Pottery</w:t>
      </w:r>
    </w:p>
    <w:sectPr w:rsidR="006E7BAB" w:rsidRPr="00F909BC" w:rsidSect="00065C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C48"/>
    <w:multiLevelType w:val="hybridMultilevel"/>
    <w:tmpl w:val="2EBC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0B9"/>
    <w:multiLevelType w:val="hybridMultilevel"/>
    <w:tmpl w:val="8E0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757"/>
    <w:multiLevelType w:val="hybridMultilevel"/>
    <w:tmpl w:val="9534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CCE"/>
    <w:multiLevelType w:val="hybridMultilevel"/>
    <w:tmpl w:val="6344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5165"/>
    <w:multiLevelType w:val="hybridMultilevel"/>
    <w:tmpl w:val="BC2A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73F3"/>
    <w:multiLevelType w:val="hybridMultilevel"/>
    <w:tmpl w:val="EAFC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E93"/>
    <w:multiLevelType w:val="hybridMultilevel"/>
    <w:tmpl w:val="213E9B6A"/>
    <w:lvl w:ilvl="0" w:tplc="96A499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6"/>
    <w:rsid w:val="00060057"/>
    <w:rsid w:val="00065CF0"/>
    <w:rsid w:val="000B45E6"/>
    <w:rsid w:val="000B4930"/>
    <w:rsid w:val="000D112C"/>
    <w:rsid w:val="00102297"/>
    <w:rsid w:val="00332165"/>
    <w:rsid w:val="003C4796"/>
    <w:rsid w:val="0040615A"/>
    <w:rsid w:val="00532DF1"/>
    <w:rsid w:val="00551DAD"/>
    <w:rsid w:val="00576551"/>
    <w:rsid w:val="005B1673"/>
    <w:rsid w:val="006065C8"/>
    <w:rsid w:val="006249D8"/>
    <w:rsid w:val="006E7BAB"/>
    <w:rsid w:val="00721996"/>
    <w:rsid w:val="00784739"/>
    <w:rsid w:val="00847C56"/>
    <w:rsid w:val="009341FC"/>
    <w:rsid w:val="00B26DD9"/>
    <w:rsid w:val="00B3163E"/>
    <w:rsid w:val="00B4472E"/>
    <w:rsid w:val="00BC5290"/>
    <w:rsid w:val="00CE7269"/>
    <w:rsid w:val="00DA0C91"/>
    <w:rsid w:val="00DD2A51"/>
    <w:rsid w:val="00DE70E2"/>
    <w:rsid w:val="00E63671"/>
    <w:rsid w:val="00EA2675"/>
    <w:rsid w:val="00EE7E23"/>
    <w:rsid w:val="00F52D4D"/>
    <w:rsid w:val="00F5414E"/>
    <w:rsid w:val="00F909BC"/>
    <w:rsid w:val="00FC3ED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3F39B-D31A-438A-9604-5E45A49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96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1996"/>
    <w:rPr>
      <w:color w:val="0000FF"/>
      <w:u w:val="single"/>
    </w:rPr>
  </w:style>
  <w:style w:type="paragraph" w:styleId="a3">
    <w:name w:val="Body Text"/>
    <w:basedOn w:val="a"/>
    <w:link w:val="a4"/>
    <w:rsid w:val="00F90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4">
    <w:name w:val="גוף טקסט תו"/>
    <w:basedOn w:val="a0"/>
    <w:link w:val="a3"/>
    <w:rsid w:val="00F909B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5B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699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Arie</dc:creator>
  <cp:lastModifiedBy>Israel Dept</cp:lastModifiedBy>
  <cp:revision>20</cp:revision>
  <dcterms:created xsi:type="dcterms:W3CDTF">2018-02-24T08:14:00Z</dcterms:created>
  <dcterms:modified xsi:type="dcterms:W3CDTF">2018-04-22T07:38:00Z</dcterms:modified>
</cp:coreProperties>
</file>