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85" w:rsidRPr="00D97359" w:rsidRDefault="00E70585" w:rsidP="0066107A">
      <w:pPr>
        <w:pStyle w:val="1"/>
        <w:jc w:val="center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</w:p>
    <w:p w:rsidR="00E70585" w:rsidRPr="00D97359" w:rsidRDefault="00E70585" w:rsidP="00E70585">
      <w:pPr>
        <w:spacing w:after="0" w:line="360" w:lineRule="auto"/>
        <w:rPr>
          <w:rFonts w:ascii="David" w:eastAsia="Times New Roman" w:hAnsi="David" w:cs="David"/>
          <w:bCs/>
          <w:sz w:val="24"/>
          <w:szCs w:val="24"/>
          <w:rtl/>
        </w:rPr>
      </w:pPr>
      <w:r w:rsidRPr="00D97359">
        <w:rPr>
          <w:rFonts w:ascii="David" w:eastAsia="Times New Roman" w:hAnsi="David" w:cs="David"/>
          <w:bCs/>
          <w:noProof/>
          <w:sz w:val="24"/>
          <w:szCs w:val="24"/>
          <w:rtl/>
        </w:rPr>
        <w:drawing>
          <wp:inline distT="0" distB="0" distL="0" distR="0" wp14:anchorId="742939CC" wp14:editId="6C9B4895">
            <wp:extent cx="2382934" cy="885825"/>
            <wp:effectExtent l="0" t="0" r="0" b="0"/>
            <wp:docPr id="1" name="תמונה 1" descr="C:\Users\User\AppData\Local\Microsoft\Windows\INetCache\Content.Outlook\5F2X6072\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5F2X6072\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50" cy="8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85" w:rsidRPr="00D97359" w:rsidRDefault="00E70585" w:rsidP="00E70585">
      <w:pPr>
        <w:spacing w:after="0" w:line="360" w:lineRule="auto"/>
        <w:jc w:val="center"/>
        <w:rPr>
          <w:rFonts w:ascii="David" w:eastAsia="Times New Roman" w:hAnsi="David" w:cs="David"/>
          <w:sz w:val="24"/>
          <w:szCs w:val="24"/>
          <w:rtl/>
        </w:rPr>
      </w:pPr>
      <w:r w:rsidRPr="00D97359">
        <w:rPr>
          <w:rFonts w:ascii="David" w:eastAsia="Times New Roman" w:hAnsi="David" w:cs="David"/>
          <w:bCs/>
          <w:sz w:val="24"/>
          <w:szCs w:val="24"/>
          <w:rtl/>
        </w:rPr>
        <w:t xml:space="preserve">שם ומספר הקורס:  </w:t>
      </w:r>
    </w:p>
    <w:p w:rsidR="00E70585" w:rsidRPr="00D97359" w:rsidRDefault="00E70585" w:rsidP="00E70585">
      <w:pPr>
        <w:spacing w:after="0" w:line="360" w:lineRule="auto"/>
        <w:jc w:val="center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D97359">
        <w:rPr>
          <w:rFonts w:ascii="David" w:hAnsi="David" w:cs="David"/>
          <w:color w:val="000000"/>
          <w:sz w:val="24"/>
          <w:szCs w:val="24"/>
        </w:rPr>
        <w:t>"</w:t>
      </w:r>
      <w:r w:rsidRPr="00D97359">
        <w:rPr>
          <w:rFonts w:ascii="David" w:hAnsi="David" w:cs="David"/>
          <w:color w:val="000000"/>
          <w:sz w:val="24"/>
          <w:szCs w:val="24"/>
          <w:rtl/>
        </w:rPr>
        <w:t>שצת ובצת ופי מצובה וחנותה": הגליל המערבי במבט רב-תחומי</w:t>
      </w:r>
    </w:p>
    <w:p w:rsidR="00E70585" w:rsidRPr="00D97359" w:rsidRDefault="00E70585" w:rsidP="00E70585">
      <w:pPr>
        <w:spacing w:after="0" w:line="360" w:lineRule="auto"/>
        <w:jc w:val="center"/>
        <w:rPr>
          <w:rFonts w:ascii="David" w:eastAsia="Times New Roman" w:hAnsi="David" w:cs="David"/>
          <w:sz w:val="24"/>
          <w:szCs w:val="24"/>
          <w:rtl/>
        </w:rPr>
      </w:pPr>
      <w:r w:rsidRPr="00D97359">
        <w:rPr>
          <w:rFonts w:ascii="David" w:eastAsia="Times New Roman" w:hAnsi="David" w:cs="David"/>
          <w:sz w:val="24"/>
          <w:szCs w:val="24"/>
          <w:rtl/>
        </w:rPr>
        <w:t>16-</w:t>
      </w:r>
      <w:r w:rsidR="00085466" w:rsidRPr="00D97359">
        <w:rPr>
          <w:rFonts w:ascii="David" w:eastAsia="Times New Roman" w:hAnsi="David" w:cs="David"/>
          <w:sz w:val="24"/>
          <w:szCs w:val="24"/>
          <w:rtl/>
        </w:rPr>
        <w:t>0</w:t>
      </w:r>
      <w:r w:rsidRPr="00D97359">
        <w:rPr>
          <w:rFonts w:ascii="David" w:eastAsia="Times New Roman" w:hAnsi="David" w:cs="David"/>
          <w:sz w:val="24"/>
          <w:szCs w:val="24"/>
          <w:rtl/>
        </w:rPr>
        <w:t>014-01</w:t>
      </w:r>
    </w:p>
    <w:p w:rsidR="00E70585" w:rsidRPr="00D97359" w:rsidRDefault="00E70585" w:rsidP="00E7058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D97359">
        <w:rPr>
          <w:rFonts w:ascii="David" w:eastAsia="Times New Roman" w:hAnsi="David" w:cs="David"/>
          <w:b/>
          <w:bCs/>
          <w:sz w:val="24"/>
          <w:szCs w:val="24"/>
          <w:rtl/>
        </w:rPr>
        <w:t>שנת לימודים</w:t>
      </w:r>
      <w:r w:rsidRPr="00D97359">
        <w:rPr>
          <w:rFonts w:ascii="David" w:eastAsia="Times New Roman" w:hAnsi="David" w:cs="David"/>
          <w:sz w:val="24"/>
          <w:szCs w:val="24"/>
          <w:rtl/>
        </w:rPr>
        <w:t xml:space="preserve">:             תשפ"א         </w:t>
      </w:r>
      <w:r w:rsidRPr="00D97359">
        <w:rPr>
          <w:rFonts w:ascii="David" w:eastAsia="Times New Roman" w:hAnsi="David" w:cs="David"/>
          <w:b/>
          <w:bCs/>
          <w:sz w:val="24"/>
          <w:szCs w:val="24"/>
          <w:rtl/>
        </w:rPr>
        <w:t>סמסטר</w:t>
      </w:r>
      <w:r w:rsidRPr="00D97359">
        <w:rPr>
          <w:rFonts w:ascii="David" w:eastAsia="Times New Roman" w:hAnsi="David" w:cs="David"/>
          <w:sz w:val="24"/>
          <w:szCs w:val="24"/>
          <w:rtl/>
        </w:rPr>
        <w:t xml:space="preserve">:  ב                           </w:t>
      </w:r>
      <w:r w:rsidRPr="00D97359">
        <w:rPr>
          <w:rFonts w:ascii="David" w:eastAsia="Times New Roman" w:hAnsi="David" w:cs="David"/>
          <w:b/>
          <w:bCs/>
          <w:sz w:val="24"/>
          <w:szCs w:val="24"/>
          <w:rtl/>
        </w:rPr>
        <w:t>היקף שעות</w:t>
      </w:r>
      <w:r w:rsidRPr="00D97359">
        <w:rPr>
          <w:rFonts w:ascii="David" w:eastAsia="Times New Roman" w:hAnsi="David" w:cs="David"/>
          <w:sz w:val="24"/>
          <w:szCs w:val="24"/>
          <w:rtl/>
        </w:rPr>
        <w:t>:  1 ש"ש</w:t>
      </w:r>
    </w:p>
    <w:p w:rsidR="00B42D62" w:rsidRPr="00D97359" w:rsidRDefault="00E70585" w:rsidP="00E70585">
      <w:pPr>
        <w:spacing w:after="0" w:line="240" w:lineRule="auto"/>
        <w:rPr>
          <w:rFonts w:ascii="David" w:eastAsia="Calibri" w:hAnsi="David" w:cs="David"/>
          <w:b/>
          <w:bCs/>
          <w:sz w:val="24"/>
          <w:szCs w:val="24"/>
          <w:rtl/>
        </w:rPr>
      </w:pPr>
      <w:r w:rsidRPr="00D97359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</w:p>
    <w:p w:rsidR="00E345B6" w:rsidRPr="00D97359" w:rsidRDefault="00E345B6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D97359">
        <w:rPr>
          <w:rFonts w:ascii="David" w:eastAsia="Calibri" w:hAnsi="David" w:cs="David"/>
          <w:b/>
          <w:bCs/>
          <w:sz w:val="24"/>
          <w:szCs w:val="24"/>
          <w:rtl/>
        </w:rPr>
        <w:t>מרצה</w:t>
      </w:r>
      <w:r w:rsidRPr="00D97359">
        <w:rPr>
          <w:rFonts w:ascii="David" w:eastAsia="Calibri" w:hAnsi="David" w:cs="David"/>
          <w:sz w:val="24"/>
          <w:szCs w:val="24"/>
          <w:rtl/>
        </w:rPr>
        <w:t>: פרופ' לילך רוזנברג-פרידמן</w:t>
      </w:r>
    </w:p>
    <w:p w:rsidR="00E345B6" w:rsidRPr="00D97359" w:rsidRDefault="00E345B6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</w:p>
    <w:p w:rsidR="00E345B6" w:rsidRPr="00D97359" w:rsidRDefault="00E345B6" w:rsidP="00E97572">
      <w:pPr>
        <w:pStyle w:val="2"/>
        <w:rPr>
          <w:rFonts w:ascii="David" w:hAnsi="David" w:cs="David"/>
          <w:b/>
          <w:bCs/>
          <w:sz w:val="24"/>
          <w:szCs w:val="24"/>
          <w:rtl/>
        </w:rPr>
      </w:pPr>
      <w:r w:rsidRPr="00D97359">
        <w:rPr>
          <w:rFonts w:ascii="David" w:hAnsi="David" w:cs="David"/>
          <w:b/>
          <w:bCs/>
          <w:sz w:val="24"/>
          <w:szCs w:val="24"/>
          <w:rtl/>
        </w:rPr>
        <w:t>מטרות הקורס</w:t>
      </w:r>
    </w:p>
    <w:p w:rsidR="00E345B6" w:rsidRPr="00D97359" w:rsidRDefault="00E345B6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 xml:space="preserve">מטרת העל </w:t>
      </w:r>
      <w:r w:rsidR="00BF3DFA" w:rsidRPr="00D97359">
        <w:rPr>
          <w:rFonts w:ascii="David" w:eastAsia="Calibri" w:hAnsi="David" w:cs="David"/>
          <w:sz w:val="24"/>
          <w:szCs w:val="24"/>
          <w:rtl/>
        </w:rPr>
        <w:t xml:space="preserve">של הקורס </w:t>
      </w:r>
      <w:r w:rsidRPr="00D97359">
        <w:rPr>
          <w:rFonts w:ascii="David" w:eastAsia="Calibri" w:hAnsi="David" w:cs="David"/>
          <w:sz w:val="24"/>
          <w:szCs w:val="24"/>
          <w:rtl/>
        </w:rPr>
        <w:t xml:space="preserve">היא </w:t>
      </w:r>
      <w:r w:rsidR="00BF3DFA" w:rsidRPr="00D97359">
        <w:rPr>
          <w:rFonts w:ascii="David" w:eastAsia="Calibri" w:hAnsi="David" w:cs="David"/>
          <w:sz w:val="24"/>
          <w:szCs w:val="24"/>
          <w:rtl/>
        </w:rPr>
        <w:t xml:space="preserve">הכרת </w:t>
      </w:r>
      <w:r w:rsidRPr="00D97359">
        <w:rPr>
          <w:rFonts w:ascii="David" w:eastAsia="Calibri" w:hAnsi="David" w:cs="David"/>
          <w:sz w:val="24"/>
          <w:szCs w:val="24"/>
          <w:rtl/>
        </w:rPr>
        <w:t>תהליכים הנובעים מיחסי הגומלין בין המערכת הנופית-הפיזית למערכת התרבותית האנושית, והבנתם</w:t>
      </w:r>
      <w:r w:rsidR="00BF3DFA" w:rsidRPr="00D97359">
        <w:rPr>
          <w:rFonts w:ascii="David" w:eastAsia="Calibri" w:hAnsi="David" w:cs="David"/>
          <w:sz w:val="24"/>
          <w:szCs w:val="24"/>
          <w:rtl/>
        </w:rPr>
        <w:t xml:space="preserve"> באמצעות התמקדות והעמקה בחבל ארץ מוגדר</w:t>
      </w:r>
      <w:r w:rsidRPr="00D97359">
        <w:rPr>
          <w:rFonts w:ascii="David" w:eastAsia="Calibri" w:hAnsi="David" w:cs="David"/>
          <w:sz w:val="24"/>
          <w:szCs w:val="24"/>
          <w:rtl/>
        </w:rPr>
        <w:t>.</w:t>
      </w:r>
      <w:r w:rsidR="00BF3DFA" w:rsidRPr="00D97359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E345B6" w:rsidRPr="00D97359" w:rsidRDefault="00DF02CE" w:rsidP="00E70585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 xml:space="preserve">במוקד קורס זה, 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 xml:space="preserve">הכרות מעמיקה עם </w:t>
      </w:r>
      <w:r w:rsidR="00BF3DFA" w:rsidRPr="00D97359">
        <w:rPr>
          <w:rFonts w:ascii="David" w:eastAsia="Calibri" w:hAnsi="David" w:cs="David"/>
          <w:sz w:val="24"/>
          <w:szCs w:val="24"/>
          <w:rtl/>
        </w:rPr>
        <w:t>אזור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E70585" w:rsidRPr="00D97359">
        <w:rPr>
          <w:rFonts w:ascii="David" w:eastAsia="Calibri" w:hAnsi="David" w:cs="David"/>
          <w:sz w:val="24"/>
          <w:szCs w:val="24"/>
          <w:rtl/>
        </w:rPr>
        <w:t>הגליל המערבי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ורצועת החוף הצפונית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>, שתקנה ידע רחב היקף ובינתחומי על חבל ארץ זה, ובד בבד תשמש מצע להבנת קשרי אדם-טבע-</w:t>
      </w:r>
      <w:r w:rsidR="00243EA3" w:rsidRPr="00D97359">
        <w:rPr>
          <w:rFonts w:ascii="David" w:eastAsia="Calibri" w:hAnsi="David" w:cs="David"/>
          <w:sz w:val="24"/>
          <w:szCs w:val="24"/>
          <w:rtl/>
        </w:rPr>
        <w:t>נוף-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>תרבות.</w:t>
      </w:r>
    </w:p>
    <w:p w:rsidR="00E97572" w:rsidRPr="00D97359" w:rsidRDefault="00E97572" w:rsidP="00E97572">
      <w:pPr>
        <w:pStyle w:val="2"/>
        <w:rPr>
          <w:rFonts w:ascii="David" w:hAnsi="David" w:cs="David"/>
          <w:b/>
          <w:bCs/>
          <w:sz w:val="24"/>
          <w:szCs w:val="24"/>
          <w:rtl/>
        </w:rPr>
      </w:pPr>
    </w:p>
    <w:p w:rsidR="00E345B6" w:rsidRPr="00D97359" w:rsidRDefault="00E345B6" w:rsidP="00E97572">
      <w:pPr>
        <w:pStyle w:val="2"/>
        <w:rPr>
          <w:rFonts w:ascii="David" w:hAnsi="David" w:cs="David"/>
          <w:b/>
          <w:bCs/>
          <w:sz w:val="24"/>
          <w:szCs w:val="24"/>
          <w:rtl/>
        </w:rPr>
      </w:pPr>
      <w:r w:rsidRPr="00D97359">
        <w:rPr>
          <w:rFonts w:ascii="David" w:hAnsi="David" w:cs="David"/>
          <w:b/>
          <w:bCs/>
          <w:sz w:val="24"/>
          <w:szCs w:val="24"/>
          <w:rtl/>
        </w:rPr>
        <w:t>תוכן הקורס</w:t>
      </w:r>
    </w:p>
    <w:p w:rsidR="00243EA3" w:rsidRPr="00D97359" w:rsidRDefault="00E70585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>הגליל המערבי הוא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 xml:space="preserve"> חבל ארץ ייחודי בנוף הארצי</w:t>
      </w:r>
      <w:r w:rsidR="00757B1D" w:rsidRPr="00D97359">
        <w:rPr>
          <w:rFonts w:ascii="David" w:eastAsia="Calibri" w:hAnsi="David" w:cs="David"/>
          <w:sz w:val="24"/>
          <w:szCs w:val="24"/>
          <w:rtl/>
        </w:rPr>
        <w:t>שראלי. הייחודיות ניכרת במאפיינים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 xml:space="preserve"> הגיאוגרפיים, בעולם החי והצומח, באירועים ההיסטוריים שהתרחשו ב</w:t>
      </w:r>
      <w:r w:rsidR="00757B1D" w:rsidRPr="00D97359">
        <w:rPr>
          <w:rFonts w:ascii="David" w:eastAsia="Calibri" w:hAnsi="David" w:cs="David"/>
          <w:sz w:val="24"/>
          <w:szCs w:val="24"/>
          <w:rtl/>
        </w:rPr>
        <w:t>מקום, ובתרבות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 xml:space="preserve"> האנושית. כל אלה יעמדו במוקד הקורס שיקנה הכרות מעמיקה עם חבל ארץ זה על מאפייניו</w:t>
      </w:r>
      <w:r w:rsidR="00BF3DFA" w:rsidRPr="00D97359">
        <w:rPr>
          <w:rFonts w:ascii="David" w:eastAsia="Calibri" w:hAnsi="David" w:cs="David"/>
          <w:sz w:val="24"/>
          <w:szCs w:val="24"/>
          <w:rtl/>
        </w:rPr>
        <w:t xml:space="preserve"> השונים ויחסי הגומלין ביניהם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>.</w:t>
      </w:r>
    </w:p>
    <w:p w:rsidR="00E41EE9" w:rsidRPr="00D97359" w:rsidRDefault="00243EA3" w:rsidP="00DF02CE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>בסיור בן היומיים, ובמטלות המלוות אותו, נתחקה אחר מא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>פיינים גיאוגרפיים, תופעות גיאולוגיות ו</w:t>
      </w:r>
      <w:r w:rsidR="00BF3DFA" w:rsidRPr="00D97359">
        <w:rPr>
          <w:rFonts w:ascii="David" w:eastAsia="Calibri" w:hAnsi="David" w:cs="David"/>
          <w:sz w:val="24"/>
          <w:szCs w:val="24"/>
          <w:rtl/>
        </w:rPr>
        <w:t>עולם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 xml:space="preserve"> החי והצומח באזור, וה</w:t>
      </w:r>
      <w:r w:rsidRPr="00D97359">
        <w:rPr>
          <w:rFonts w:ascii="David" w:eastAsia="Calibri" w:hAnsi="David" w:cs="David"/>
          <w:sz w:val="24"/>
          <w:szCs w:val="24"/>
          <w:rtl/>
        </w:rPr>
        <w:t xml:space="preserve">שפעת האדם על אלה; </w:t>
      </w:r>
      <w:r w:rsidR="00BF3DFA" w:rsidRPr="00D97359">
        <w:rPr>
          <w:rFonts w:ascii="David" w:eastAsia="Calibri" w:hAnsi="David" w:cs="David"/>
          <w:sz w:val="24"/>
          <w:szCs w:val="24"/>
          <w:rtl/>
        </w:rPr>
        <w:t xml:space="preserve">נעמוד על 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>הפעילות האנושית באזור בתקופות קדומות על סמך ממצאים ארכיאולוגיים;</w:t>
      </w:r>
      <w:r w:rsidR="00E41EE9" w:rsidRPr="00D97359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BF3DFA" w:rsidRPr="00D97359">
        <w:rPr>
          <w:rFonts w:ascii="David" w:eastAsia="Calibri" w:hAnsi="David" w:cs="David"/>
          <w:sz w:val="24"/>
          <w:szCs w:val="24"/>
          <w:rtl/>
        </w:rPr>
        <w:t xml:space="preserve">נבחן את 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>הפעילות האנושית באזור בעת החדשה,</w:t>
      </w:r>
      <w:r w:rsidR="00E41EE9" w:rsidRPr="00D97359">
        <w:rPr>
          <w:rFonts w:ascii="David" w:eastAsia="Calibri" w:hAnsi="David" w:cs="David"/>
          <w:sz w:val="24"/>
          <w:szCs w:val="24"/>
          <w:rtl/>
        </w:rPr>
        <w:t xml:space="preserve"> בדגש על </w:t>
      </w:r>
      <w:r w:rsidR="00685256" w:rsidRPr="00D97359">
        <w:rPr>
          <w:rFonts w:ascii="David" w:eastAsia="Calibri" w:hAnsi="David" w:cs="David"/>
          <w:sz w:val="24"/>
          <w:szCs w:val="24"/>
          <w:rtl/>
        </w:rPr>
        <w:t>שאלות התיישבות</w:t>
      </w:r>
      <w:r w:rsidR="00BF3DFA" w:rsidRPr="00D97359">
        <w:rPr>
          <w:rFonts w:ascii="David" w:eastAsia="Calibri" w:hAnsi="David" w:cs="David"/>
          <w:sz w:val="24"/>
          <w:szCs w:val="24"/>
          <w:rtl/>
        </w:rPr>
        <w:t xml:space="preserve"> למן התקופות הקדומות </w:t>
      </w:r>
      <w:r w:rsidR="00DF02CE">
        <w:rPr>
          <w:rFonts w:ascii="David" w:eastAsia="Calibri" w:hAnsi="David" w:cs="David" w:hint="cs"/>
          <w:sz w:val="24"/>
          <w:szCs w:val="24"/>
          <w:rtl/>
        </w:rPr>
        <w:t>ועד</w:t>
      </w:r>
      <w:r w:rsidR="00685256" w:rsidRPr="00D97359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DF02CE">
        <w:rPr>
          <w:rFonts w:ascii="David" w:eastAsia="Calibri" w:hAnsi="David" w:cs="David" w:hint="cs"/>
          <w:sz w:val="24"/>
          <w:szCs w:val="24"/>
          <w:rtl/>
        </w:rPr>
        <w:t>ל</w:t>
      </w:r>
      <w:r w:rsidR="00685256" w:rsidRPr="00D97359">
        <w:rPr>
          <w:rFonts w:ascii="David" w:eastAsia="Calibri" w:hAnsi="David" w:cs="David"/>
          <w:sz w:val="24"/>
          <w:szCs w:val="24"/>
          <w:rtl/>
        </w:rPr>
        <w:t>ימינו.</w:t>
      </w:r>
    </w:p>
    <w:p w:rsidR="00E345B6" w:rsidRPr="00D97359" w:rsidRDefault="00DF02CE" w:rsidP="00DF02CE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ה</w:t>
      </w:r>
      <w:r w:rsidR="00BF3DFA" w:rsidRPr="00D97359">
        <w:rPr>
          <w:rFonts w:ascii="David" w:eastAsia="Calibri" w:hAnsi="David" w:cs="David"/>
          <w:sz w:val="24"/>
          <w:szCs w:val="24"/>
          <w:rtl/>
        </w:rPr>
        <w:t xml:space="preserve">סוגיות שייבחנו באזור המוגדר של </w:t>
      </w:r>
      <w:r w:rsidR="00E70585" w:rsidRPr="00D97359">
        <w:rPr>
          <w:rFonts w:ascii="David" w:eastAsia="Calibri" w:hAnsi="David" w:cs="David"/>
          <w:sz w:val="24"/>
          <w:szCs w:val="24"/>
          <w:rtl/>
        </w:rPr>
        <w:t>הגליל המערבי</w:t>
      </w:r>
      <w:r w:rsidR="00B42D62" w:rsidRPr="00D97359">
        <w:rPr>
          <w:rFonts w:ascii="David" w:eastAsia="Calibri" w:hAnsi="David" w:cs="David"/>
          <w:sz w:val="24"/>
          <w:szCs w:val="24"/>
          <w:rtl/>
        </w:rPr>
        <w:t>,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 xml:space="preserve"> יהוו </w:t>
      </w:r>
      <w:r w:rsidR="001A10E9" w:rsidRPr="00D97359">
        <w:rPr>
          <w:rFonts w:ascii="David" w:eastAsia="Calibri" w:hAnsi="David" w:cs="David"/>
          <w:sz w:val="24"/>
          <w:szCs w:val="24"/>
          <w:rtl/>
        </w:rPr>
        <w:t>מקרה בוחן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 xml:space="preserve"> לבחינת יחסי גומלין השוררים בין מערכות סביבתיות שונות לבין פעילות אנושית, לאורך דורות.</w:t>
      </w:r>
    </w:p>
    <w:p w:rsidR="00E97572" w:rsidRPr="00D97359" w:rsidRDefault="00E97572" w:rsidP="00E97572">
      <w:pPr>
        <w:pStyle w:val="2"/>
        <w:spacing w:line="276" w:lineRule="auto"/>
        <w:rPr>
          <w:rFonts w:ascii="David" w:eastAsia="Calibri" w:hAnsi="David" w:cs="David"/>
          <w:b/>
          <w:bCs/>
          <w:color w:val="auto"/>
          <w:sz w:val="24"/>
          <w:szCs w:val="24"/>
          <w:rtl/>
        </w:rPr>
      </w:pPr>
    </w:p>
    <w:p w:rsidR="00E97572" w:rsidRPr="00D97359" w:rsidRDefault="00E97572" w:rsidP="00E97572">
      <w:pPr>
        <w:pStyle w:val="2"/>
        <w:spacing w:line="276" w:lineRule="auto"/>
        <w:rPr>
          <w:rFonts w:ascii="David" w:eastAsia="Calibri" w:hAnsi="David" w:cs="David"/>
          <w:b/>
          <w:bCs/>
          <w:color w:val="auto"/>
          <w:sz w:val="24"/>
          <w:szCs w:val="24"/>
          <w:rtl/>
        </w:rPr>
      </w:pPr>
    </w:p>
    <w:p w:rsidR="00685256" w:rsidRPr="00D97359" w:rsidRDefault="00685256" w:rsidP="00E314AD">
      <w:pPr>
        <w:pStyle w:val="2"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D97359">
        <w:rPr>
          <w:rFonts w:ascii="David" w:hAnsi="David" w:cs="David"/>
          <w:b/>
          <w:bCs/>
          <w:sz w:val="24"/>
          <w:szCs w:val="24"/>
          <w:rtl/>
        </w:rPr>
        <w:t>ביבליוגרפיה</w:t>
      </w:r>
    </w:p>
    <w:p w:rsidR="00685256" w:rsidRPr="00D97359" w:rsidRDefault="00685256" w:rsidP="00E314AD">
      <w:pPr>
        <w:pStyle w:val="a3"/>
        <w:numPr>
          <w:ilvl w:val="0"/>
          <w:numId w:val="15"/>
        </w:numPr>
        <w:spacing w:line="360" w:lineRule="auto"/>
        <w:rPr>
          <w:rFonts w:ascii="David" w:eastAsia="Calibri" w:hAnsi="David" w:cs="David"/>
          <w:sz w:val="24"/>
          <w:szCs w:val="24"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 xml:space="preserve">ט. בן יוסף, "המכלול הנופי – תפיסת הנוף כמערכת", בתוך: א. פרבולוצקי, ט. בן-יוסף, ר. יחזקאלי (עורכים), </w:t>
      </w:r>
      <w:r w:rsidRPr="00D97359">
        <w:rPr>
          <w:rFonts w:ascii="David" w:eastAsia="Calibri" w:hAnsi="David" w:cs="David"/>
          <w:sz w:val="24"/>
          <w:szCs w:val="24"/>
          <w:u w:val="single"/>
          <w:rtl/>
        </w:rPr>
        <w:t>התפיסה המערכתית של הנוף</w:t>
      </w:r>
      <w:r w:rsidRPr="00D97359">
        <w:rPr>
          <w:rFonts w:ascii="David" w:eastAsia="Calibri" w:hAnsi="David" w:cs="David"/>
          <w:sz w:val="24"/>
          <w:szCs w:val="24"/>
          <w:rtl/>
        </w:rPr>
        <w:t xml:space="preserve">, </w:t>
      </w:r>
      <w:r w:rsidR="0056433F" w:rsidRPr="00D97359">
        <w:rPr>
          <w:rFonts w:ascii="David" w:eastAsia="Calibri" w:hAnsi="David" w:cs="David"/>
          <w:sz w:val="24"/>
          <w:szCs w:val="24"/>
          <w:rtl/>
        </w:rPr>
        <w:t xml:space="preserve">1997 </w:t>
      </w:r>
      <w:r w:rsidRPr="00D97359">
        <w:rPr>
          <w:rFonts w:ascii="David" w:eastAsia="Calibri" w:hAnsi="David" w:cs="David"/>
          <w:sz w:val="24"/>
          <w:szCs w:val="24"/>
          <w:rtl/>
        </w:rPr>
        <w:t>עמ' 19-5.</w:t>
      </w:r>
    </w:p>
    <w:p w:rsidR="00D44163" w:rsidRPr="00D97359" w:rsidRDefault="00A6718D" w:rsidP="00E314AD">
      <w:pPr>
        <w:pStyle w:val="a3"/>
        <w:numPr>
          <w:ilvl w:val="0"/>
          <w:numId w:val="15"/>
        </w:numPr>
        <w:spacing w:after="240" w:line="360" w:lineRule="auto"/>
        <w:rPr>
          <w:rFonts w:ascii="David" w:eastAsia="Calibri" w:hAnsi="David" w:cs="David"/>
          <w:sz w:val="24"/>
          <w:szCs w:val="24"/>
          <w:rtl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 xml:space="preserve">יגאל טפר ויותם טפר, "דרכי עולי הרגל בגליל המערבי", פרק ג: מחקרים חדשים, </w:t>
      </w:r>
      <w:r w:rsidRPr="00D97359">
        <w:rPr>
          <w:rFonts w:ascii="David" w:eastAsia="Calibri" w:hAnsi="David" w:cs="David"/>
          <w:sz w:val="24"/>
          <w:szCs w:val="24"/>
          <w:u w:val="single"/>
          <w:rtl/>
        </w:rPr>
        <w:t>דרכים נושאות עם</w:t>
      </w:r>
      <w:r w:rsidRPr="00D97359">
        <w:rPr>
          <w:rFonts w:ascii="David" w:eastAsia="Calibri" w:hAnsi="David" w:cs="David"/>
          <w:sz w:val="24"/>
          <w:szCs w:val="24"/>
          <w:rtl/>
        </w:rPr>
        <w:t>, הקיבוץ המאוחד, 2013.</w:t>
      </w:r>
    </w:p>
    <w:tbl>
      <w:tblPr>
        <w:bidiVisual/>
        <w:tblW w:w="0" w:type="auto"/>
        <w:tblCellSpacing w:w="15" w:type="dxa"/>
        <w:tblLook w:val="04A0" w:firstRow="1" w:lastRow="0" w:firstColumn="1" w:lastColumn="0" w:noHBand="0" w:noVBand="1"/>
      </w:tblPr>
      <w:tblGrid>
        <w:gridCol w:w="7973"/>
        <w:gridCol w:w="252"/>
        <w:gridCol w:w="81"/>
      </w:tblGrid>
      <w:tr w:rsidR="00D97359" w:rsidRPr="00D97359" w:rsidTr="00241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359" w:rsidRPr="00D97359" w:rsidRDefault="00A6718D" w:rsidP="00E314AD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David" w:eastAsia="Calibri" w:hAnsi="David" w:cs="David"/>
                <w:sz w:val="24"/>
                <w:szCs w:val="24"/>
              </w:rPr>
            </w:pPr>
            <w:r w:rsidRPr="00D97359">
              <w:rPr>
                <w:rFonts w:ascii="David" w:eastAsia="Calibri" w:hAnsi="David" w:cs="David"/>
                <w:sz w:val="24"/>
                <w:szCs w:val="24"/>
                <w:rtl/>
              </w:rPr>
              <w:t xml:space="preserve">אבי פרבולוצקי, </w:t>
            </w:r>
            <w:r w:rsidRPr="00D97359">
              <w:rPr>
                <w:rFonts w:ascii="David" w:eastAsia="Calibri" w:hAnsi="David" w:cs="David"/>
                <w:sz w:val="24"/>
                <w:szCs w:val="24"/>
                <w:u w:val="single"/>
                <w:rtl/>
              </w:rPr>
              <w:t>החורש הים-תיכוני: רקע כללי, סיכום ספרות</w:t>
            </w:r>
            <w:r w:rsidRPr="00D97359">
              <w:rPr>
                <w:rFonts w:ascii="David" w:eastAsia="Calibri" w:hAnsi="David" w:cs="David"/>
                <w:sz w:val="24"/>
                <w:szCs w:val="24"/>
                <w:rtl/>
              </w:rPr>
              <w:t>, ת"א החברה להגנת הטבע, 1992.</w:t>
            </w:r>
            <w:r w:rsidR="00D97359" w:rsidRPr="00D97359">
              <w:rPr>
                <w:rFonts w:ascii="David" w:eastAsia="Calibri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D97359" w:rsidRPr="00D97359" w:rsidRDefault="00D97359" w:rsidP="00E314AD">
            <w:pPr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359" w:rsidRPr="00D97359" w:rsidRDefault="00D97359" w:rsidP="00E314AD">
            <w:pPr>
              <w:spacing w:after="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</w:tbl>
    <w:p w:rsidR="00D44163" w:rsidRPr="00D97359" w:rsidRDefault="00A6718D" w:rsidP="00E314AD">
      <w:pPr>
        <w:pStyle w:val="a3"/>
        <w:numPr>
          <w:ilvl w:val="0"/>
          <w:numId w:val="15"/>
        </w:num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 xml:space="preserve">הלל גלוזמן, "חשבון מים", </w:t>
      </w:r>
      <w:r w:rsidRPr="00D97359">
        <w:rPr>
          <w:rFonts w:ascii="David" w:eastAsia="Calibri" w:hAnsi="David" w:cs="David"/>
          <w:sz w:val="24"/>
          <w:szCs w:val="24"/>
          <w:u w:val="single"/>
          <w:rtl/>
        </w:rPr>
        <w:t>בשביל הארץ</w:t>
      </w:r>
      <w:r w:rsidRPr="00D97359">
        <w:rPr>
          <w:rFonts w:ascii="David" w:eastAsia="Calibri" w:hAnsi="David" w:cs="David"/>
          <w:sz w:val="24"/>
          <w:szCs w:val="24"/>
          <w:rtl/>
        </w:rPr>
        <w:t>, 59 (2014), עמ' 33-30.</w:t>
      </w:r>
    </w:p>
    <w:p w:rsidR="00D97359" w:rsidRDefault="00D97359" w:rsidP="00E314AD">
      <w:pPr>
        <w:spacing w:after="240" w:line="360" w:lineRule="auto"/>
        <w:rPr>
          <w:rFonts w:ascii="David" w:eastAsia="Calibri" w:hAnsi="David" w:cs="David"/>
          <w:sz w:val="24"/>
          <w:szCs w:val="24"/>
          <w:rtl/>
        </w:rPr>
      </w:pPr>
    </w:p>
    <w:p w:rsidR="00C42601" w:rsidRPr="00D97359" w:rsidRDefault="00A6718D" w:rsidP="00E314AD">
      <w:pPr>
        <w:pStyle w:val="a3"/>
        <w:numPr>
          <w:ilvl w:val="0"/>
          <w:numId w:val="15"/>
        </w:numPr>
        <w:spacing w:after="240" w:line="360" w:lineRule="auto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D97359">
        <w:rPr>
          <w:rFonts w:ascii="David" w:eastAsia="Calibri" w:hAnsi="David" w:cs="David"/>
          <w:sz w:val="24"/>
          <w:szCs w:val="24"/>
          <w:rtl/>
        </w:rPr>
        <w:lastRenderedPageBreak/>
        <w:t xml:space="preserve">מוסטפא עבאסי, </w:t>
      </w:r>
      <w:bookmarkStart w:id="1" w:name="citation"/>
      <w:r w:rsidRPr="00D97359">
        <w:rPr>
          <w:rFonts w:ascii="David" w:eastAsia="Calibri" w:hAnsi="David" w:cs="David"/>
          <w:sz w:val="24"/>
          <w:szCs w:val="24"/>
          <w:rtl/>
        </w:rPr>
        <w:t>"</w:t>
      </w:r>
      <w:r w:rsidR="00C42601" w:rsidRPr="00D97359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בין עכו ללבנון: הכפרים הערביים בחוף הגליל המערבי בימי המנדט</w:t>
      </w:r>
      <w:r w:rsidRPr="00D97359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", </w:t>
      </w:r>
      <w:bookmarkEnd w:id="1"/>
      <w:r w:rsidR="00C42601" w:rsidRPr="00D97359">
        <w:rPr>
          <w:rFonts w:ascii="David" w:eastAsia="Times New Roman" w:hAnsi="David" w:cs="David"/>
          <w:color w:val="333333"/>
          <w:sz w:val="24"/>
          <w:szCs w:val="24"/>
          <w:u w:val="single"/>
          <w:rtl/>
        </w:rPr>
        <w:t>עיונים: כתב עת רב-תחומי לחקר ישראל</w:t>
      </w:r>
      <w:r w:rsidR="00C42601" w:rsidRPr="00D97359">
        <w:rPr>
          <w:rFonts w:ascii="David" w:eastAsia="Times New Roman" w:hAnsi="David" w:cs="David"/>
          <w:color w:val="333333"/>
          <w:sz w:val="24"/>
          <w:szCs w:val="24"/>
          <w:rtl/>
        </w:rPr>
        <w:t>, 29 (תשע"ח, 2018), עמ' 111-136</w:t>
      </w:r>
    </w:p>
    <w:p w:rsidR="00C42601" w:rsidRPr="00D97359" w:rsidRDefault="006D2D55" w:rsidP="00E314AD">
      <w:pPr>
        <w:pStyle w:val="a3"/>
        <w:numPr>
          <w:ilvl w:val="0"/>
          <w:numId w:val="15"/>
        </w:numPr>
        <w:spacing w:after="240" w:line="360" w:lineRule="auto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D97359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מרדכי </w:t>
      </w:r>
      <w:r w:rsidR="00D97359" w:rsidRPr="00D97359">
        <w:rPr>
          <w:rFonts w:ascii="David" w:eastAsia="Times New Roman" w:hAnsi="David" w:cs="David" w:hint="cs"/>
          <w:color w:val="333333"/>
          <w:sz w:val="24"/>
          <w:szCs w:val="24"/>
          <w:rtl/>
        </w:rPr>
        <w:t>א</w:t>
      </w:r>
      <w:r w:rsidRPr="00D97359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ביעם ויעקב אשכנזי, </w:t>
      </w:r>
      <w:r w:rsidR="00C42601" w:rsidRPr="00D97359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חורבת בתה, כפר ומנזריו: לדמות</w:t>
      </w:r>
      <w:r w:rsidRPr="00D97359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ו של מרחב כפרי נוצרי בארץ ישראל", </w:t>
      </w:r>
      <w:r w:rsidR="00C42601" w:rsidRPr="00E314AD">
        <w:rPr>
          <w:rFonts w:ascii="David" w:eastAsia="Times New Roman" w:hAnsi="David" w:cs="David"/>
          <w:color w:val="333333"/>
          <w:sz w:val="24"/>
          <w:szCs w:val="24"/>
          <w:u w:val="single"/>
          <w:rtl/>
        </w:rPr>
        <w:t>קתדרה</w:t>
      </w:r>
      <w:r w:rsidRPr="00D97359">
        <w:rPr>
          <w:rFonts w:ascii="David" w:eastAsia="Times New Roman" w:hAnsi="David" w:cs="David"/>
          <w:color w:val="333333"/>
          <w:sz w:val="24"/>
          <w:szCs w:val="24"/>
          <w:rtl/>
        </w:rPr>
        <w:t>,</w:t>
      </w:r>
      <w:r w:rsidR="00C42601" w:rsidRPr="00D97359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147</w:t>
      </w:r>
      <w:r w:rsidRPr="00D97359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(2013), עמ' 32-7. </w:t>
      </w:r>
    </w:p>
    <w:p w:rsidR="006D2D55" w:rsidRPr="00E314AD" w:rsidRDefault="006D2D55" w:rsidP="00E314AD">
      <w:pPr>
        <w:pStyle w:val="a3"/>
        <w:numPr>
          <w:ilvl w:val="0"/>
          <w:numId w:val="15"/>
        </w:numPr>
        <w:spacing w:after="240" w:line="360" w:lineRule="auto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E314AD">
        <w:rPr>
          <w:rFonts w:ascii="David" w:eastAsia="Times New Roman" w:hAnsi="David" w:cs="David"/>
          <w:color w:val="333333"/>
          <w:sz w:val="24"/>
          <w:szCs w:val="24"/>
          <w:rtl/>
        </w:rPr>
        <w:t>עמנואל דמתי, "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אתר תעשיית סוכר מהתקופה הפאטימית ועד לתקופה העות'מאנית בתל אום אל-פרג' בגליל המערבי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", </w:t>
      </w:r>
      <w:r w:rsidR="00C42601" w:rsidRPr="00E314AD">
        <w:rPr>
          <w:rFonts w:ascii="David" w:eastAsia="Times New Roman" w:hAnsi="David" w:cs="David"/>
          <w:color w:val="333333"/>
          <w:sz w:val="24"/>
          <w:szCs w:val="24"/>
          <w:u w:val="single"/>
          <w:rtl/>
        </w:rPr>
        <w:t>עתיקות</w:t>
      </w:r>
      <w:r w:rsidR="00C42601" w:rsidRPr="00E314AD">
        <w:rPr>
          <w:rFonts w:ascii="David" w:eastAsia="Times New Roman" w:hAnsi="David" w:cs="David"/>
          <w:color w:val="333333"/>
          <w:sz w:val="24"/>
          <w:szCs w:val="24"/>
          <w:rtl/>
        </w:rPr>
        <w:t>, 65</w:t>
      </w:r>
      <w:r w:rsidRPr="00E314AD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(2011), עמ' 159-139. </w:t>
      </w:r>
    </w:p>
    <w:p w:rsidR="00E314AD" w:rsidRPr="00D97359" w:rsidRDefault="006D2D55" w:rsidP="00E314AD">
      <w:pPr>
        <w:pStyle w:val="a3"/>
        <w:numPr>
          <w:ilvl w:val="0"/>
          <w:numId w:val="15"/>
        </w:numPr>
        <w:spacing w:after="240" w:line="360" w:lineRule="auto"/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</w:rPr>
      </w:pPr>
      <w:r w:rsidRPr="00E314AD">
        <w:rPr>
          <w:rFonts w:ascii="David" w:eastAsia="Times New Roman" w:hAnsi="David" w:cs="David"/>
          <w:color w:val="333333"/>
          <w:sz w:val="24"/>
          <w:szCs w:val="24"/>
          <w:rtl/>
        </w:rPr>
        <w:t>נמרוד גצוב, "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גומות שתילה לעצי פרי במחצבות-פיר מהתקופה הרומית המאוחרת בגליל </w:t>
      </w:r>
    </w:p>
    <w:p w:rsidR="00B5302B" w:rsidRPr="00E314AD" w:rsidRDefault="00B5302B" w:rsidP="00E314AD">
      <w:pPr>
        <w:pStyle w:val="a3"/>
        <w:numPr>
          <w:ilvl w:val="0"/>
          <w:numId w:val="15"/>
        </w:numPr>
        <w:spacing w:after="0" w:line="360" w:lineRule="auto"/>
        <w:textAlignment w:val="baseline"/>
        <w:outlineLvl w:val="0"/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</w:pP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מרדכי</w:t>
      </w:r>
      <w:r w:rsidR="00E314AD" w:rsidRPr="00E314AD">
        <w:rPr>
          <w:rFonts w:ascii="David" w:eastAsia="Times New Roman" w:hAnsi="David" w:cs="David" w:hint="cs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 אביעם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, "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שרידי כנסיות ומנזרים בגליל המערבי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", 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u w:val="single"/>
          <w:bdr w:val="none" w:sz="0" w:space="0" w:color="auto" w:frame="1"/>
          <w:rtl/>
        </w:rPr>
        <w:t>קדמוניות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 כ"ח (109) (1995), עמ' 59-47.</w:t>
      </w:r>
      <w:r w:rsidR="00E314AD" w:rsidRPr="00E314AD">
        <w:rPr>
          <w:rFonts w:ascii="David" w:eastAsia="Times New Roman" w:hAnsi="David" w:cs="David" w:hint="cs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 </w:t>
      </w:r>
    </w:p>
    <w:p w:rsidR="00B5302B" w:rsidRPr="00E314AD" w:rsidRDefault="00B5302B" w:rsidP="00E314AD">
      <w:pPr>
        <w:pStyle w:val="a3"/>
        <w:numPr>
          <w:ilvl w:val="0"/>
          <w:numId w:val="15"/>
        </w:numPr>
        <w:spacing w:after="0" w:line="360" w:lineRule="auto"/>
        <w:textAlignment w:val="baseline"/>
        <w:outlineLvl w:val="0"/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</w:rPr>
      </w:pP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שמואל שמא, שרה ארנון, זאב גרינברג ויצחק שנל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ב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 "יזמויות ב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כפרים יהודים וערבים בפריפריה הצפונית של ישראל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", </w:t>
      </w:r>
      <w:r w:rsidR="00C42601" w:rsidRPr="00E314AD">
        <w:rPr>
          <w:rFonts w:ascii="David" w:eastAsia="Times New Roman" w:hAnsi="David" w:cs="David"/>
          <w:i/>
          <w:iCs/>
          <w:color w:val="333333"/>
          <w:sz w:val="24"/>
          <w:szCs w:val="24"/>
          <w:bdr w:val="none" w:sz="0" w:space="0" w:color="auto" w:frame="1"/>
        </w:rPr>
        <w:t>Social Issues in Israel</w:t>
      </w:r>
      <w:r w:rsidRPr="00E314AD">
        <w:rPr>
          <w:rFonts w:ascii="David" w:eastAsia="Times New Roman" w:hAnsi="David" w:cs="David"/>
          <w:color w:val="333333"/>
          <w:sz w:val="24"/>
          <w:szCs w:val="24"/>
          <w:bdr w:val="none" w:sz="0" w:space="0" w:color="auto" w:frame="1"/>
        </w:rPr>
        <w:t>, 19</w:t>
      </w:r>
      <w:r w:rsidR="00C42601" w:rsidRPr="00E314AD">
        <w:rPr>
          <w:rFonts w:ascii="David" w:eastAsia="Times New Roman" w:hAnsi="David" w:cs="David"/>
          <w:color w:val="333333"/>
          <w:sz w:val="24"/>
          <w:szCs w:val="24"/>
          <w:bdr w:val="none" w:sz="0" w:space="0" w:color="auto" w:frame="1"/>
        </w:rPr>
        <w:t xml:space="preserve"> </w:t>
      </w:r>
      <w:r w:rsidRPr="00E314AD">
        <w:rPr>
          <w:rFonts w:ascii="David" w:eastAsia="Times New Roman" w:hAnsi="David" w:cs="David"/>
          <w:color w:val="333333"/>
          <w:sz w:val="24"/>
          <w:szCs w:val="24"/>
          <w:bdr w:val="none" w:sz="0" w:space="0" w:color="auto" w:frame="1"/>
        </w:rPr>
        <w:t>(</w:t>
      </w:r>
      <w:r w:rsidR="00C42601" w:rsidRPr="00E314AD">
        <w:rPr>
          <w:rFonts w:ascii="David" w:eastAsia="Times New Roman" w:hAnsi="David" w:cs="David"/>
          <w:color w:val="333333"/>
          <w:sz w:val="24"/>
          <w:szCs w:val="24"/>
          <w:bdr w:val="none" w:sz="0" w:space="0" w:color="auto" w:frame="1"/>
        </w:rPr>
        <w:t>2015</w:t>
      </w:r>
      <w:r w:rsidRPr="00E314AD">
        <w:rPr>
          <w:rFonts w:ascii="David" w:eastAsia="Times New Roman" w:hAnsi="David" w:cs="David"/>
          <w:color w:val="333333"/>
          <w:sz w:val="24"/>
          <w:szCs w:val="24"/>
          <w:bdr w:val="none" w:sz="0" w:space="0" w:color="auto" w:frame="1"/>
        </w:rPr>
        <w:t>)</w:t>
      </w:r>
      <w:r w:rsidR="00C42601" w:rsidRPr="00E314AD">
        <w:rPr>
          <w:rFonts w:ascii="David" w:eastAsia="Times New Roman" w:hAnsi="David" w:cs="David"/>
          <w:color w:val="333333"/>
          <w:sz w:val="24"/>
          <w:szCs w:val="24"/>
          <w:bdr w:val="none" w:sz="0" w:space="0" w:color="auto" w:frame="1"/>
        </w:rPr>
        <w:t>, p</w:t>
      </w:r>
      <w:r w:rsidRPr="00E314AD">
        <w:rPr>
          <w:rFonts w:ascii="David" w:eastAsia="Times New Roman" w:hAnsi="David" w:cs="David"/>
          <w:color w:val="333333"/>
          <w:sz w:val="24"/>
          <w:szCs w:val="24"/>
          <w:bdr w:val="none" w:sz="0" w:space="0" w:color="auto" w:frame="1"/>
        </w:rPr>
        <w:t xml:space="preserve">p. </w:t>
      </w:r>
      <w:r w:rsidR="00C42601" w:rsidRPr="00E314AD">
        <w:rPr>
          <w:rFonts w:ascii="David" w:eastAsia="Times New Roman" w:hAnsi="David" w:cs="David"/>
          <w:color w:val="333333"/>
          <w:sz w:val="24"/>
          <w:szCs w:val="24"/>
          <w:bdr w:val="none" w:sz="0" w:space="0" w:color="auto" w:frame="1"/>
        </w:rPr>
        <w:t>179-210</w:t>
      </w:r>
    </w:p>
    <w:p w:rsidR="00C42601" w:rsidRPr="00E314AD" w:rsidRDefault="00B5302B" w:rsidP="00E314AD">
      <w:pPr>
        <w:pStyle w:val="a3"/>
        <w:numPr>
          <w:ilvl w:val="0"/>
          <w:numId w:val="15"/>
        </w:numPr>
        <w:spacing w:after="0" w:line="360" w:lineRule="auto"/>
        <w:textAlignment w:val="baseline"/>
        <w:outlineLvl w:val="0"/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</w:rPr>
      </w:pP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שלום ריכמן, "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הנסיונות להקמת מסגרות חבליות לקדום ההתיישבות היהודית בשלהי המנדט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", 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u w:val="single"/>
          <w:bdr w:val="none" w:sz="0" w:space="0" w:color="auto" w:frame="1"/>
          <w:rtl/>
        </w:rPr>
        <w:t>אופקים בגיאוגרפיה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, 24-23 (1988), עמ' 33-29.</w:t>
      </w:r>
    </w:p>
    <w:p w:rsidR="00D17C93" w:rsidRPr="00E314AD" w:rsidRDefault="00D17C93" w:rsidP="00E314AD">
      <w:pPr>
        <w:pStyle w:val="a3"/>
        <w:numPr>
          <w:ilvl w:val="0"/>
          <w:numId w:val="15"/>
        </w:numPr>
        <w:spacing w:after="0" w:line="360" w:lineRule="auto"/>
        <w:textAlignment w:val="baseline"/>
        <w:outlineLvl w:val="0"/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</w:pP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גרשון גליל, "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ויגל ישראל מעל אדמתו אשורה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": עיון מחודש בתעודה מנהלית מכלח", </w:t>
      </w:r>
      <w:r w:rsidR="00C42601" w:rsidRPr="00E314AD">
        <w:rPr>
          <w:rFonts w:ascii="David" w:eastAsia="Times New Roman" w:hAnsi="David" w:cs="David"/>
          <w:color w:val="333333"/>
          <w:sz w:val="24"/>
          <w:szCs w:val="24"/>
          <w:u w:val="single"/>
          <w:rtl/>
        </w:rPr>
        <w:t>בית מקרא,</w:t>
      </w:r>
      <w:r w:rsidR="00C42601" w:rsidRPr="00E314AD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52</w:t>
      </w:r>
      <w:r w:rsidRPr="00E314AD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, 2 (2007), עמ' 60-41. </w:t>
      </w:r>
    </w:p>
    <w:p w:rsidR="00D17C93" w:rsidRPr="00E314AD" w:rsidRDefault="00D17C93" w:rsidP="00E314AD">
      <w:pPr>
        <w:pStyle w:val="a3"/>
        <w:numPr>
          <w:ilvl w:val="0"/>
          <w:numId w:val="15"/>
        </w:numPr>
        <w:spacing w:after="0" w:line="360" w:lineRule="auto"/>
        <w:textAlignment w:val="baseline"/>
        <w:outlineLvl w:val="0"/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</w:pP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גרשון גליל, "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גבע, בית-דגון והגבול בין נחלת אשר ונחלת זבולון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", 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u w:val="single"/>
          <w:bdr w:val="none" w:sz="0" w:space="0" w:color="auto" w:frame="1"/>
          <w:rtl/>
        </w:rPr>
        <w:t>קתדרה</w:t>
      </w:r>
      <w:r w:rsidR="00E314AD" w:rsidRPr="00E314AD">
        <w:rPr>
          <w:rFonts w:ascii="David" w:eastAsia="Times New Roman" w:hAnsi="David" w:cs="David" w:hint="cs"/>
          <w:color w:val="333333"/>
          <w:kern w:val="36"/>
          <w:sz w:val="24"/>
          <w:szCs w:val="24"/>
          <w:u w:val="single"/>
          <w:bdr w:val="none" w:sz="0" w:space="0" w:color="auto" w:frame="1"/>
          <w:rtl/>
        </w:rPr>
        <w:t>,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 57 (1990), עמ' 18-3.</w:t>
      </w:r>
      <w:r w:rsidR="00E314AD" w:rsidRPr="00E314AD">
        <w:rPr>
          <w:rFonts w:ascii="David" w:eastAsia="Times New Roman" w:hAnsi="David" w:cs="David" w:hint="cs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 </w:t>
      </w:r>
    </w:p>
    <w:p w:rsidR="00D17C93" w:rsidRPr="00E314AD" w:rsidRDefault="00D17C93" w:rsidP="00E314AD">
      <w:pPr>
        <w:pStyle w:val="a3"/>
        <w:numPr>
          <w:ilvl w:val="0"/>
          <w:numId w:val="15"/>
        </w:numPr>
        <w:spacing w:after="0" w:line="360" w:lineRule="auto"/>
        <w:textAlignment w:val="baseline"/>
        <w:outlineLvl w:val="0"/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</w:pP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יאיר זלטנרייך, "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דימויים הדדיים של מורים ואיכרים במושבות הגליל בתקופת היישוב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", 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u w:val="single"/>
          <w:bdr w:val="none" w:sz="0" w:space="0" w:color="auto" w:frame="1"/>
          <w:rtl/>
        </w:rPr>
        <w:t>קתדרה</w:t>
      </w:r>
      <w:r w:rsidR="00E314AD" w:rsidRPr="00E314AD">
        <w:rPr>
          <w:rFonts w:ascii="David" w:eastAsia="Times New Roman" w:hAnsi="David" w:cs="David" w:hint="cs"/>
          <w:color w:val="333333"/>
          <w:kern w:val="36"/>
          <w:sz w:val="24"/>
          <w:szCs w:val="24"/>
          <w:bdr w:val="none" w:sz="0" w:space="0" w:color="auto" w:frame="1"/>
          <w:rtl/>
        </w:rPr>
        <w:t>,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 147 (2013), עמ' 114-81. </w:t>
      </w:r>
    </w:p>
    <w:p w:rsidR="00D17C93" w:rsidRPr="00E314AD" w:rsidRDefault="00D17C93" w:rsidP="00E314AD">
      <w:pPr>
        <w:pStyle w:val="a3"/>
        <w:numPr>
          <w:ilvl w:val="0"/>
          <w:numId w:val="15"/>
        </w:numPr>
        <w:spacing w:after="0" w:line="360" w:lineRule="auto"/>
        <w:textAlignment w:val="baseline"/>
        <w:outlineLvl w:val="0"/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</w:pP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יגאל לוין, "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כסלות-תבור, רימון, הנחל אשר על פני יקנעם וגי יפתח-אל: להבנת גבולותיה של נחלת זבולון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", 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u w:val="single"/>
          <w:bdr w:val="none" w:sz="0" w:space="0" w:color="auto" w:frame="1"/>
          <w:rtl/>
        </w:rPr>
        <w:t>קתדרה</w:t>
      </w:r>
      <w:r w:rsidR="00E314AD" w:rsidRPr="00E314AD">
        <w:rPr>
          <w:rFonts w:ascii="David" w:eastAsia="Times New Roman" w:hAnsi="David" w:cs="David" w:hint="cs"/>
          <w:color w:val="333333"/>
          <w:kern w:val="36"/>
          <w:sz w:val="24"/>
          <w:szCs w:val="24"/>
          <w:bdr w:val="none" w:sz="0" w:space="0" w:color="auto" w:frame="1"/>
          <w:rtl/>
        </w:rPr>
        <w:t>,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 108 (2003), עמ' 36-5.</w:t>
      </w:r>
      <w:r w:rsidR="00E314AD" w:rsidRPr="00E314AD">
        <w:rPr>
          <w:rFonts w:ascii="David" w:eastAsia="Times New Roman" w:hAnsi="David" w:cs="David" w:hint="cs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 </w:t>
      </w:r>
    </w:p>
    <w:p w:rsidR="00C42601" w:rsidRPr="00E314AD" w:rsidRDefault="00D17C93" w:rsidP="00E314AD">
      <w:pPr>
        <w:pStyle w:val="a3"/>
        <w:numPr>
          <w:ilvl w:val="0"/>
          <w:numId w:val="15"/>
        </w:numPr>
        <w:spacing w:after="0" w:line="360" w:lineRule="auto"/>
        <w:textAlignment w:val="baseline"/>
        <w:outlineLvl w:val="0"/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</w:rPr>
      </w:pP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מוסטפא עבאסי, "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השתקפות המערכה בגליל במלחמת</w:t>
      </w:r>
      <w:r w:rsidR="00E314AD">
        <w:rPr>
          <w:rFonts w:ascii="David" w:eastAsia="Times New Roman" w:hAnsi="David" w:cs="David" w:hint="cs"/>
          <w:color w:val="333333"/>
          <w:kern w:val="36"/>
          <w:sz w:val="24"/>
          <w:szCs w:val="24"/>
          <w:bdr w:val="none" w:sz="0" w:space="0" w:color="auto" w:frame="1"/>
          <w:rtl/>
        </w:rPr>
        <w:t xml:space="preserve"> 1948 </w:t>
      </w:r>
      <w:r w:rsidR="00C42601"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בהיסטוריוגרפיה, בספרות ובשירה הפלסטינית</w:t>
      </w:r>
      <w:r w:rsidRP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  <w:rtl/>
        </w:rPr>
        <w:t>", עלי זית וחרב, ט"ו (2015), עמ' 114-91.</w:t>
      </w:r>
      <w:r w:rsidR="00E314AD">
        <w:rPr>
          <w:rFonts w:ascii="David" w:eastAsia="Times New Roman" w:hAnsi="David" w:cs="David"/>
          <w:color w:val="333333"/>
          <w:kern w:val="36"/>
          <w:sz w:val="24"/>
          <w:szCs w:val="24"/>
          <w:bdr w:val="none" w:sz="0" w:space="0" w:color="auto" w:frame="1"/>
        </w:rPr>
        <w:t xml:space="preserve"> </w:t>
      </w:r>
    </w:p>
    <w:p w:rsidR="00D44163" w:rsidRDefault="00C42601" w:rsidP="00E314AD">
      <w:pPr>
        <w:pStyle w:val="a3"/>
        <w:numPr>
          <w:ilvl w:val="0"/>
          <w:numId w:val="15"/>
        </w:numPr>
        <w:spacing w:line="360" w:lineRule="auto"/>
        <w:rPr>
          <w:rFonts w:ascii="David" w:eastAsia="Calibri" w:hAnsi="David" w:cs="David"/>
          <w:sz w:val="24"/>
          <w:szCs w:val="24"/>
        </w:rPr>
      </w:pPr>
      <w:r w:rsidRPr="00E314AD">
        <w:rPr>
          <w:rFonts w:ascii="David" w:eastAsia="Calibri" w:hAnsi="David" w:cs="David"/>
          <w:sz w:val="24"/>
          <w:szCs w:val="24"/>
          <w:rtl/>
        </w:rPr>
        <w:t>דוד קורן,</w:t>
      </w:r>
      <w:r w:rsidRPr="00E314AD">
        <w:rPr>
          <w:rFonts w:ascii="David" w:eastAsia="Calibri" w:hAnsi="David" w:cs="David"/>
          <w:sz w:val="24"/>
          <w:szCs w:val="24"/>
          <w:u w:val="single"/>
          <w:rtl/>
        </w:rPr>
        <w:t xml:space="preserve"> הגליל המערבי במלחמת העצמאות</w:t>
      </w:r>
      <w:r w:rsidRPr="00E314AD">
        <w:rPr>
          <w:rFonts w:ascii="David" w:eastAsia="Calibri" w:hAnsi="David" w:cs="David"/>
          <w:sz w:val="24"/>
          <w:szCs w:val="24"/>
          <w:rtl/>
        </w:rPr>
        <w:t>, ת"א משרד הביטחון, תשמ"ח</w:t>
      </w:r>
      <w:r w:rsidR="00E314AD">
        <w:rPr>
          <w:rFonts w:ascii="David" w:eastAsia="Calibri" w:hAnsi="David" w:cs="David" w:hint="cs"/>
          <w:sz w:val="24"/>
          <w:szCs w:val="24"/>
          <w:rtl/>
        </w:rPr>
        <w:t>.</w:t>
      </w:r>
    </w:p>
    <w:p w:rsidR="008D56A2" w:rsidRPr="00E314AD" w:rsidRDefault="008D56A2" w:rsidP="00E314AD">
      <w:pPr>
        <w:pStyle w:val="a3"/>
        <w:numPr>
          <w:ilvl w:val="0"/>
          <w:numId w:val="15"/>
        </w:num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E314AD">
        <w:rPr>
          <w:rFonts w:ascii="David" w:eastAsia="Calibri" w:hAnsi="David" w:cs="David"/>
          <w:sz w:val="24"/>
          <w:szCs w:val="24"/>
          <w:rtl/>
        </w:rPr>
        <w:t>עמנואל הראובני,</w:t>
      </w:r>
      <w:r w:rsidRPr="00E314AD">
        <w:rPr>
          <w:rFonts w:ascii="David" w:eastAsia="Calibri" w:hAnsi="David" w:cs="David"/>
          <w:sz w:val="24"/>
          <w:szCs w:val="24"/>
          <w:u w:val="single"/>
          <w:rtl/>
        </w:rPr>
        <w:t xml:space="preserve"> שיירת יחיעם: סיפור</w:t>
      </w:r>
      <w:r w:rsidR="0044697F" w:rsidRPr="00E314AD">
        <w:rPr>
          <w:rFonts w:ascii="David" w:eastAsia="Calibri" w:hAnsi="David" w:cs="David"/>
          <w:sz w:val="24"/>
          <w:szCs w:val="24"/>
          <w:u w:val="single"/>
          <w:rtl/>
        </w:rPr>
        <w:t>ה של שיירה באביב תש"ח – קובץ עדויות</w:t>
      </w:r>
      <w:r w:rsidR="0044697F" w:rsidRPr="00E314AD">
        <w:rPr>
          <w:rFonts w:ascii="David" w:eastAsia="Calibri" w:hAnsi="David" w:cs="David"/>
          <w:sz w:val="24"/>
          <w:szCs w:val="24"/>
          <w:rtl/>
        </w:rPr>
        <w:t>, ת"א משרד הביטחון, תשמ"א</w:t>
      </w:r>
      <w:r w:rsidR="00E314AD">
        <w:rPr>
          <w:rFonts w:ascii="David" w:eastAsia="Calibri" w:hAnsi="David" w:cs="David" w:hint="cs"/>
          <w:sz w:val="24"/>
          <w:szCs w:val="24"/>
          <w:rtl/>
        </w:rPr>
        <w:t>.</w:t>
      </w:r>
    </w:p>
    <w:p w:rsidR="00E345B6" w:rsidRPr="00D97359" w:rsidRDefault="00E345B6" w:rsidP="00E97572">
      <w:pPr>
        <w:pStyle w:val="2"/>
        <w:rPr>
          <w:rFonts w:ascii="David" w:hAnsi="David" w:cs="David"/>
          <w:sz w:val="24"/>
          <w:szCs w:val="24"/>
          <w:rtl/>
        </w:rPr>
      </w:pPr>
      <w:r w:rsidRPr="00D97359">
        <w:rPr>
          <w:rFonts w:ascii="David" w:hAnsi="David" w:cs="David"/>
          <w:sz w:val="24"/>
          <w:szCs w:val="24"/>
          <w:rtl/>
        </w:rPr>
        <w:t>דרישות קדם:</w:t>
      </w:r>
    </w:p>
    <w:p w:rsidR="00E345B6" w:rsidRPr="00D97359" w:rsidRDefault="00E345B6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>אין</w:t>
      </w:r>
    </w:p>
    <w:p w:rsidR="00E345B6" w:rsidRPr="00D97359" w:rsidRDefault="00E345B6" w:rsidP="00E97572">
      <w:pPr>
        <w:pStyle w:val="2"/>
        <w:rPr>
          <w:rFonts w:ascii="David" w:hAnsi="David" w:cs="David"/>
          <w:sz w:val="24"/>
          <w:szCs w:val="24"/>
          <w:rtl/>
        </w:rPr>
      </w:pPr>
      <w:r w:rsidRPr="00D97359">
        <w:rPr>
          <w:rFonts w:ascii="David" w:hAnsi="David" w:cs="David"/>
          <w:sz w:val="24"/>
          <w:szCs w:val="24"/>
          <w:rtl/>
        </w:rPr>
        <w:t>חובות הקורס:</w:t>
      </w:r>
    </w:p>
    <w:p w:rsidR="00E345B6" w:rsidRPr="00D97359" w:rsidRDefault="00E345B6" w:rsidP="00E97572">
      <w:pPr>
        <w:numPr>
          <w:ilvl w:val="0"/>
          <w:numId w:val="1"/>
        </w:numPr>
        <w:spacing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 xml:space="preserve">קריאת המקורות </w:t>
      </w:r>
    </w:p>
    <w:p w:rsidR="00E345B6" w:rsidRPr="00D97359" w:rsidRDefault="00E345B6" w:rsidP="00E97572">
      <w:pPr>
        <w:numPr>
          <w:ilvl w:val="0"/>
          <w:numId w:val="1"/>
        </w:numPr>
        <w:spacing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>הגשת מטלות</w:t>
      </w:r>
    </w:p>
    <w:p w:rsidR="00E345B6" w:rsidRPr="00D97359" w:rsidRDefault="00E345B6" w:rsidP="00E97572">
      <w:pPr>
        <w:numPr>
          <w:ilvl w:val="0"/>
          <w:numId w:val="1"/>
        </w:numPr>
        <w:spacing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>השתתפות בסיור בן יומיים</w:t>
      </w:r>
      <w:r w:rsidR="00E97572" w:rsidRPr="00D97359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E345B6" w:rsidRPr="00D97359" w:rsidRDefault="00E345B6" w:rsidP="00E97572">
      <w:pPr>
        <w:pStyle w:val="2"/>
        <w:rPr>
          <w:rFonts w:ascii="David" w:hAnsi="David" w:cs="David"/>
          <w:sz w:val="24"/>
          <w:szCs w:val="24"/>
          <w:rtl/>
        </w:rPr>
      </w:pPr>
      <w:r w:rsidRPr="00D97359">
        <w:rPr>
          <w:rFonts w:ascii="David" w:hAnsi="David" w:cs="David"/>
          <w:sz w:val="24"/>
          <w:szCs w:val="24"/>
          <w:rtl/>
        </w:rPr>
        <w:t>מרכיבי הציון הסופי:</w:t>
      </w:r>
    </w:p>
    <w:p w:rsidR="00E97572" w:rsidRPr="00D97359" w:rsidRDefault="00722FA3" w:rsidP="00722FA3">
      <w:pPr>
        <w:spacing w:line="240" w:lineRule="auto"/>
        <w:rPr>
          <w:rFonts w:ascii="David" w:eastAsia="Calibri" w:hAnsi="David" w:cs="David"/>
          <w:sz w:val="24"/>
          <w:szCs w:val="24"/>
          <w:rtl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 xml:space="preserve">40% 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 xml:space="preserve">עבודת הכנה </w:t>
      </w:r>
    </w:p>
    <w:p w:rsidR="00E345B6" w:rsidRPr="00D97359" w:rsidRDefault="00E345B6" w:rsidP="00E314AD">
      <w:pPr>
        <w:spacing w:line="240" w:lineRule="auto"/>
        <w:rPr>
          <w:rFonts w:ascii="David" w:eastAsia="Calibri" w:hAnsi="David" w:cs="David"/>
          <w:sz w:val="24"/>
          <w:szCs w:val="24"/>
          <w:rtl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>50% השתתפות בסיור בן יומיים –</w:t>
      </w:r>
      <w:r w:rsidR="00BD5B27" w:rsidRPr="00D97359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E314AD">
        <w:rPr>
          <w:rFonts w:ascii="David" w:eastAsia="Calibri" w:hAnsi="David" w:cs="David" w:hint="cs"/>
          <w:sz w:val="24"/>
          <w:szCs w:val="24"/>
          <w:rtl/>
        </w:rPr>
        <w:t>הגליל המערבי ורצועת החוף הצפוני</w:t>
      </w:r>
    </w:p>
    <w:p w:rsidR="00E345B6" w:rsidRPr="00D97359" w:rsidRDefault="00722FA3" w:rsidP="00E97572">
      <w:pPr>
        <w:spacing w:line="240" w:lineRule="auto"/>
        <w:rPr>
          <w:rFonts w:ascii="David" w:eastAsia="Calibri" w:hAnsi="David" w:cs="David"/>
          <w:sz w:val="24"/>
          <w:szCs w:val="24"/>
          <w:rtl/>
        </w:rPr>
      </w:pPr>
      <w:r w:rsidRPr="00D97359">
        <w:rPr>
          <w:rFonts w:ascii="David" w:eastAsia="Calibri" w:hAnsi="David" w:cs="David"/>
          <w:sz w:val="24"/>
          <w:szCs w:val="24"/>
          <w:rtl/>
        </w:rPr>
        <w:t>1</w:t>
      </w:r>
      <w:r w:rsidR="00E345B6" w:rsidRPr="00D97359">
        <w:rPr>
          <w:rFonts w:ascii="David" w:eastAsia="Calibri" w:hAnsi="David" w:cs="David"/>
          <w:sz w:val="24"/>
          <w:szCs w:val="24"/>
          <w:rtl/>
        </w:rPr>
        <w:t>0% עבודת סיכום</w:t>
      </w:r>
    </w:p>
    <w:p w:rsidR="00E6262F" w:rsidRPr="00D97359" w:rsidRDefault="00E6262F" w:rsidP="00E97572">
      <w:pPr>
        <w:spacing w:line="276" w:lineRule="auto"/>
        <w:rPr>
          <w:rFonts w:ascii="David" w:hAnsi="David" w:cs="David"/>
          <w:sz w:val="24"/>
          <w:szCs w:val="24"/>
        </w:rPr>
      </w:pPr>
    </w:p>
    <w:sectPr w:rsidR="00E6262F" w:rsidRPr="00D97359" w:rsidSect="00FC7A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FCF"/>
    <w:multiLevelType w:val="hybridMultilevel"/>
    <w:tmpl w:val="C3E8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55F"/>
    <w:multiLevelType w:val="hybridMultilevel"/>
    <w:tmpl w:val="8FA8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B0A4D"/>
    <w:multiLevelType w:val="hybridMultilevel"/>
    <w:tmpl w:val="5770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B81"/>
    <w:multiLevelType w:val="hybridMultilevel"/>
    <w:tmpl w:val="27288E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1447C"/>
    <w:multiLevelType w:val="hybridMultilevel"/>
    <w:tmpl w:val="D7BCD7A6"/>
    <w:lvl w:ilvl="0" w:tplc="3EB411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4912"/>
    <w:multiLevelType w:val="hybridMultilevel"/>
    <w:tmpl w:val="C8D2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4272"/>
    <w:multiLevelType w:val="hybridMultilevel"/>
    <w:tmpl w:val="7DC6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36E7E"/>
    <w:multiLevelType w:val="hybridMultilevel"/>
    <w:tmpl w:val="BB90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A6E8E"/>
    <w:multiLevelType w:val="hybridMultilevel"/>
    <w:tmpl w:val="4AC2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2DD1"/>
    <w:multiLevelType w:val="hybridMultilevel"/>
    <w:tmpl w:val="41B6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A7AA7"/>
    <w:multiLevelType w:val="hybridMultilevel"/>
    <w:tmpl w:val="B792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7D8E"/>
    <w:multiLevelType w:val="hybridMultilevel"/>
    <w:tmpl w:val="DDD6F554"/>
    <w:lvl w:ilvl="0" w:tplc="58426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86C01"/>
    <w:multiLevelType w:val="hybridMultilevel"/>
    <w:tmpl w:val="92C2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E3931"/>
    <w:multiLevelType w:val="hybridMultilevel"/>
    <w:tmpl w:val="449EE2D2"/>
    <w:lvl w:ilvl="0" w:tplc="7B20E1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43C15"/>
    <w:multiLevelType w:val="hybridMultilevel"/>
    <w:tmpl w:val="23D62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B6"/>
    <w:rsid w:val="00041F83"/>
    <w:rsid w:val="000740D7"/>
    <w:rsid w:val="00085466"/>
    <w:rsid w:val="001A10E9"/>
    <w:rsid w:val="00202A6D"/>
    <w:rsid w:val="00243EA3"/>
    <w:rsid w:val="002C4FCD"/>
    <w:rsid w:val="00335559"/>
    <w:rsid w:val="003641C3"/>
    <w:rsid w:val="00440B8F"/>
    <w:rsid w:val="0044697F"/>
    <w:rsid w:val="00497BC0"/>
    <w:rsid w:val="0056263A"/>
    <w:rsid w:val="0056433F"/>
    <w:rsid w:val="005B2964"/>
    <w:rsid w:val="00642ECA"/>
    <w:rsid w:val="00652477"/>
    <w:rsid w:val="0066107A"/>
    <w:rsid w:val="0068016E"/>
    <w:rsid w:val="00685256"/>
    <w:rsid w:val="006D2D55"/>
    <w:rsid w:val="00722FA3"/>
    <w:rsid w:val="00757B1D"/>
    <w:rsid w:val="008D56A2"/>
    <w:rsid w:val="009F5CEB"/>
    <w:rsid w:val="00A5775F"/>
    <w:rsid w:val="00A6718D"/>
    <w:rsid w:val="00A8433E"/>
    <w:rsid w:val="00B22197"/>
    <w:rsid w:val="00B344B5"/>
    <w:rsid w:val="00B428DF"/>
    <w:rsid w:val="00B42D62"/>
    <w:rsid w:val="00B5302B"/>
    <w:rsid w:val="00B80BD8"/>
    <w:rsid w:val="00BD5B27"/>
    <w:rsid w:val="00BF3DFA"/>
    <w:rsid w:val="00BF3E69"/>
    <w:rsid w:val="00C42601"/>
    <w:rsid w:val="00CB6200"/>
    <w:rsid w:val="00D17C93"/>
    <w:rsid w:val="00D44163"/>
    <w:rsid w:val="00D97359"/>
    <w:rsid w:val="00DC421F"/>
    <w:rsid w:val="00DF02CE"/>
    <w:rsid w:val="00E314AD"/>
    <w:rsid w:val="00E345B6"/>
    <w:rsid w:val="00E41EE9"/>
    <w:rsid w:val="00E6262F"/>
    <w:rsid w:val="00E70585"/>
    <w:rsid w:val="00E97572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DE740-E349-4A1B-AFE1-700CA26C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57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3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57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semiHidden/>
    <w:unhideWhenUsed/>
    <w:rsid w:val="00685256"/>
    <w:rPr>
      <w:color w:val="0000FF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9F5C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BF3D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6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Lilach Rosenberg</dc:creator>
  <cp:keywords/>
  <dc:description/>
  <cp:lastModifiedBy>תמר מגן-אלבז</cp:lastModifiedBy>
  <cp:revision>2</cp:revision>
  <dcterms:created xsi:type="dcterms:W3CDTF">2020-06-08T10:57:00Z</dcterms:created>
  <dcterms:modified xsi:type="dcterms:W3CDTF">2020-06-08T10:57:00Z</dcterms:modified>
</cp:coreProperties>
</file>