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88" w:rsidRPr="005A0FDC" w:rsidRDefault="00022088" w:rsidP="00022088">
      <w:pPr>
        <w:jc w:val="center"/>
        <w:rPr>
          <w:rFonts w:asciiTheme="majorBidi" w:hAnsiTheme="majorBidi" w:cstheme="majorBidi"/>
          <w:b/>
          <w:bCs/>
          <w:sz w:val="24"/>
          <w:szCs w:val="24"/>
          <w:u w:val="single"/>
          <w:rtl/>
        </w:rPr>
      </w:pPr>
    </w:p>
    <w:p w:rsidR="00CA5E0A" w:rsidRDefault="00E67720" w:rsidP="00CA5E0A">
      <w:pPr>
        <w:jc w:val="center"/>
        <w:rPr>
          <w:rFonts w:asciiTheme="majorBidi" w:hAnsiTheme="majorBidi" w:cstheme="majorBidi"/>
          <w:b/>
          <w:bCs/>
          <w:sz w:val="24"/>
          <w:szCs w:val="24"/>
          <w:u w:val="single"/>
          <w:rtl/>
        </w:rPr>
      </w:pPr>
      <w:r w:rsidRPr="005A0FDC">
        <w:rPr>
          <w:rFonts w:asciiTheme="majorBidi" w:hAnsiTheme="majorBidi" w:cstheme="majorBidi"/>
          <w:b/>
          <w:bCs/>
          <w:sz w:val="24"/>
          <w:szCs w:val="24"/>
          <w:u w:val="single"/>
          <w:rtl/>
        </w:rPr>
        <w:t>עלייה לרגל ומקומות קדושים בארץ ישראל הצלבנית</w:t>
      </w:r>
      <w:r w:rsidR="00FB0CC6">
        <w:rPr>
          <w:rFonts w:asciiTheme="majorBidi" w:hAnsiTheme="majorBidi" w:cstheme="majorBidi"/>
          <w:b/>
          <w:bCs/>
          <w:sz w:val="24"/>
          <w:szCs w:val="24"/>
          <w:u w:val="single"/>
          <w:rtl/>
        </w:rPr>
        <w:t xml:space="preserve"> </w:t>
      </w:r>
    </w:p>
    <w:p w:rsidR="00CA5E0A" w:rsidRDefault="00CA5E0A" w:rsidP="00CA5E0A">
      <w:pPr>
        <w:jc w:val="center"/>
        <w:rPr>
          <w:b/>
          <w:bCs/>
          <w:sz w:val="24"/>
          <w:szCs w:val="24"/>
        </w:rPr>
      </w:pPr>
      <w:r>
        <w:rPr>
          <w:b/>
          <w:bCs/>
          <w:sz w:val="24"/>
          <w:szCs w:val="24"/>
          <w:rtl/>
        </w:rPr>
        <w:t>מרצה הקורס: ד"ר יונתן רובין</w:t>
      </w:r>
    </w:p>
    <w:p w:rsidR="00CA5E0A" w:rsidRDefault="00CA5E0A" w:rsidP="00CA5E0A">
      <w:pPr>
        <w:jc w:val="center"/>
        <w:rPr>
          <w:b/>
          <w:bCs/>
          <w:sz w:val="24"/>
          <w:szCs w:val="24"/>
          <w:rtl/>
        </w:rPr>
      </w:pPr>
      <w:r>
        <w:rPr>
          <w:b/>
          <w:bCs/>
          <w:sz w:val="24"/>
          <w:szCs w:val="24"/>
          <w:rtl/>
        </w:rPr>
        <w:t>קורס מס: 16-</w:t>
      </w:r>
      <w:r>
        <w:rPr>
          <w:rFonts w:hint="cs"/>
          <w:b/>
          <w:bCs/>
          <w:sz w:val="24"/>
          <w:szCs w:val="24"/>
          <w:rtl/>
        </w:rPr>
        <w:t>867</w:t>
      </w:r>
      <w:r>
        <w:rPr>
          <w:b/>
          <w:bCs/>
          <w:sz w:val="24"/>
          <w:szCs w:val="24"/>
          <w:rtl/>
        </w:rPr>
        <w:t>-01</w:t>
      </w:r>
    </w:p>
    <w:p w:rsidR="00CA5E0A" w:rsidRDefault="004557D1" w:rsidP="004557D1">
      <w:pPr>
        <w:jc w:val="center"/>
        <w:rPr>
          <w:b/>
          <w:bCs/>
          <w:sz w:val="24"/>
          <w:szCs w:val="24"/>
          <w:rtl/>
        </w:rPr>
      </w:pPr>
      <w:r>
        <w:rPr>
          <w:rFonts w:hint="cs"/>
          <w:b/>
          <w:bCs/>
          <w:sz w:val="24"/>
          <w:szCs w:val="24"/>
          <w:rtl/>
        </w:rPr>
        <w:t xml:space="preserve">שנה: תשע"ט </w:t>
      </w:r>
      <w:r>
        <w:rPr>
          <w:rFonts w:hint="cs"/>
          <w:b/>
          <w:bCs/>
          <w:sz w:val="24"/>
          <w:szCs w:val="24"/>
          <w:rtl/>
        </w:rPr>
        <w:tab/>
      </w:r>
      <w:r>
        <w:rPr>
          <w:b/>
          <w:bCs/>
          <w:sz w:val="24"/>
          <w:szCs w:val="24"/>
          <w:rtl/>
        </w:rPr>
        <w:tab/>
      </w:r>
      <w:r w:rsidR="00CA5E0A">
        <w:rPr>
          <w:b/>
          <w:bCs/>
          <w:sz w:val="24"/>
          <w:szCs w:val="24"/>
          <w:rtl/>
        </w:rPr>
        <w:t>סמסטר</w:t>
      </w:r>
      <w:r w:rsidR="00CA5E0A">
        <w:rPr>
          <w:rFonts w:hint="cs"/>
          <w:b/>
          <w:bCs/>
          <w:sz w:val="24"/>
          <w:szCs w:val="24"/>
          <w:rtl/>
        </w:rPr>
        <w:t>: שנתי</w:t>
      </w:r>
      <w:r w:rsidR="0075282A">
        <w:rPr>
          <w:rFonts w:hint="cs"/>
          <w:b/>
          <w:bCs/>
          <w:sz w:val="24"/>
          <w:szCs w:val="24"/>
          <w:rtl/>
        </w:rPr>
        <w:t>, 2 ש"ש</w:t>
      </w:r>
      <w:bookmarkStart w:id="0" w:name="_GoBack"/>
      <w:bookmarkEnd w:id="0"/>
      <w:r w:rsidR="00CA5E0A">
        <w:rPr>
          <w:rFonts w:hint="cs"/>
          <w:b/>
          <w:bCs/>
          <w:sz w:val="24"/>
          <w:szCs w:val="24"/>
          <w:rtl/>
        </w:rPr>
        <w:tab/>
      </w:r>
      <w:r w:rsidR="00CA5E0A">
        <w:rPr>
          <w:b/>
          <w:bCs/>
          <w:sz w:val="24"/>
          <w:szCs w:val="24"/>
          <w:rtl/>
        </w:rPr>
        <w:tab/>
        <w:t xml:space="preserve">סוג שיעור: </w:t>
      </w:r>
      <w:r w:rsidR="00CA5E0A">
        <w:rPr>
          <w:rFonts w:hint="cs"/>
          <w:b/>
          <w:bCs/>
          <w:sz w:val="24"/>
          <w:szCs w:val="24"/>
          <w:rtl/>
        </w:rPr>
        <w:t>סמינריון</w:t>
      </w:r>
    </w:p>
    <w:p w:rsidR="00CA5E0A" w:rsidRPr="005A0FDC" w:rsidRDefault="00CA5E0A" w:rsidP="00022088">
      <w:pPr>
        <w:jc w:val="center"/>
        <w:rPr>
          <w:rFonts w:asciiTheme="majorBidi" w:hAnsiTheme="majorBidi" w:cstheme="majorBidi"/>
          <w:b/>
          <w:bCs/>
          <w:sz w:val="24"/>
          <w:szCs w:val="24"/>
          <w:u w:val="single"/>
          <w:rtl/>
        </w:rPr>
      </w:pPr>
    </w:p>
    <w:p w:rsidR="00E67720" w:rsidRPr="005A0FDC" w:rsidRDefault="00E67720">
      <w:pPr>
        <w:rPr>
          <w:rFonts w:asciiTheme="majorBidi" w:hAnsiTheme="majorBidi" w:cstheme="majorBidi"/>
          <w:sz w:val="24"/>
          <w:szCs w:val="24"/>
          <w:rtl/>
        </w:rPr>
      </w:pPr>
    </w:p>
    <w:p w:rsidR="004863AD" w:rsidRPr="005A0FDC" w:rsidRDefault="001F22CF" w:rsidP="004557D1">
      <w:pPr>
        <w:jc w:val="both"/>
        <w:rPr>
          <w:rFonts w:asciiTheme="majorBidi" w:hAnsiTheme="majorBidi" w:cstheme="majorBidi"/>
          <w:sz w:val="24"/>
          <w:szCs w:val="24"/>
          <w:rtl/>
        </w:rPr>
      </w:pPr>
      <w:r>
        <w:rPr>
          <w:rFonts w:asciiTheme="majorBidi" w:hAnsiTheme="majorBidi" w:cstheme="majorBidi"/>
          <w:sz w:val="24"/>
          <w:szCs w:val="24"/>
          <w:rtl/>
        </w:rPr>
        <w:t xml:space="preserve">מטרות הקורס: היכרות עם </w:t>
      </w:r>
      <w:r>
        <w:rPr>
          <w:rFonts w:asciiTheme="majorBidi" w:hAnsiTheme="majorBidi" w:cstheme="majorBidi" w:hint="cs"/>
          <w:sz w:val="24"/>
          <w:szCs w:val="24"/>
          <w:rtl/>
        </w:rPr>
        <w:t>חקר ה</w:t>
      </w:r>
      <w:r>
        <w:rPr>
          <w:rFonts w:asciiTheme="majorBidi" w:hAnsiTheme="majorBidi" w:cstheme="majorBidi"/>
          <w:sz w:val="24"/>
          <w:szCs w:val="24"/>
          <w:rtl/>
        </w:rPr>
        <w:t>עלייה לרגל ו</w:t>
      </w:r>
      <w:r>
        <w:rPr>
          <w:rFonts w:asciiTheme="majorBidi" w:hAnsiTheme="majorBidi" w:cstheme="majorBidi" w:hint="cs"/>
          <w:sz w:val="24"/>
          <w:szCs w:val="24"/>
          <w:rtl/>
        </w:rPr>
        <w:t>ה</w:t>
      </w:r>
      <w:r w:rsidR="004863AD" w:rsidRPr="005A0FDC">
        <w:rPr>
          <w:rFonts w:asciiTheme="majorBidi" w:hAnsiTheme="majorBidi" w:cstheme="majorBidi"/>
          <w:sz w:val="24"/>
          <w:szCs w:val="24"/>
          <w:rtl/>
        </w:rPr>
        <w:t xml:space="preserve">מקומות </w:t>
      </w:r>
      <w:r>
        <w:rPr>
          <w:rFonts w:asciiTheme="majorBidi" w:hAnsiTheme="majorBidi" w:cstheme="majorBidi" w:hint="cs"/>
          <w:sz w:val="24"/>
          <w:szCs w:val="24"/>
          <w:rtl/>
        </w:rPr>
        <w:t>ה</w:t>
      </w:r>
      <w:r w:rsidR="004863AD" w:rsidRPr="005A0FDC">
        <w:rPr>
          <w:rFonts w:asciiTheme="majorBidi" w:hAnsiTheme="majorBidi" w:cstheme="majorBidi"/>
          <w:sz w:val="24"/>
          <w:szCs w:val="24"/>
          <w:rtl/>
        </w:rPr>
        <w:t xml:space="preserve">קדושים בארץ ישראל של ימי-הביניים באופן שיאפשר את כתיבתו של מחקר עצמאי </w:t>
      </w:r>
      <w:r>
        <w:rPr>
          <w:rFonts w:asciiTheme="majorBidi" w:hAnsiTheme="majorBidi" w:cstheme="majorBidi" w:hint="cs"/>
          <w:sz w:val="24"/>
          <w:szCs w:val="24"/>
          <w:rtl/>
        </w:rPr>
        <w:t>בתחום זה</w:t>
      </w:r>
      <w:r w:rsidR="004863AD" w:rsidRPr="005A0FDC">
        <w:rPr>
          <w:rFonts w:asciiTheme="majorBidi" w:hAnsiTheme="majorBidi" w:cstheme="majorBidi"/>
          <w:sz w:val="24"/>
          <w:szCs w:val="24"/>
          <w:rtl/>
        </w:rPr>
        <w:t>. לשם מטרה זו נכיר בחלקו הראשון של הקורס את הרקע ההיסטורי, את המקורות</w:t>
      </w:r>
      <w:r>
        <w:rPr>
          <w:rFonts w:asciiTheme="majorBidi" w:hAnsiTheme="majorBidi" w:cstheme="majorBidi"/>
          <w:sz w:val="24"/>
          <w:szCs w:val="24"/>
          <w:rtl/>
        </w:rPr>
        <w:t xml:space="preserve"> שיכולים לשמש לצורך מחקר בתחו</w:t>
      </w:r>
      <w:r>
        <w:rPr>
          <w:rFonts w:asciiTheme="majorBidi" w:hAnsiTheme="majorBidi" w:cstheme="majorBidi" w:hint="cs"/>
          <w:sz w:val="24"/>
          <w:szCs w:val="24"/>
          <w:rtl/>
        </w:rPr>
        <w:t>ם</w:t>
      </w:r>
      <w:r w:rsidR="004863AD" w:rsidRPr="005A0FDC">
        <w:rPr>
          <w:rFonts w:asciiTheme="majorBidi" w:hAnsiTheme="majorBidi" w:cstheme="majorBidi"/>
          <w:sz w:val="24"/>
          <w:szCs w:val="24"/>
          <w:rtl/>
        </w:rPr>
        <w:t xml:space="preserve"> </w:t>
      </w:r>
      <w:r>
        <w:rPr>
          <w:rFonts w:asciiTheme="majorBidi" w:hAnsiTheme="majorBidi" w:cstheme="majorBidi" w:hint="cs"/>
          <w:sz w:val="24"/>
          <w:szCs w:val="24"/>
          <w:rtl/>
        </w:rPr>
        <w:t>זה</w:t>
      </w:r>
      <w:r w:rsidR="004863AD" w:rsidRPr="005A0FDC">
        <w:rPr>
          <w:rFonts w:asciiTheme="majorBidi" w:hAnsiTheme="majorBidi" w:cstheme="majorBidi"/>
          <w:sz w:val="24"/>
          <w:szCs w:val="24"/>
          <w:rtl/>
        </w:rPr>
        <w:t>, את מושגי המפתח ב</w:t>
      </w:r>
      <w:r>
        <w:rPr>
          <w:rFonts w:asciiTheme="majorBidi" w:hAnsiTheme="majorBidi" w:cstheme="majorBidi" w:hint="cs"/>
          <w:sz w:val="24"/>
          <w:szCs w:val="24"/>
          <w:rtl/>
        </w:rPr>
        <w:t>ו</w:t>
      </w:r>
      <w:r w:rsidR="004863AD" w:rsidRPr="005A0FDC">
        <w:rPr>
          <w:rFonts w:asciiTheme="majorBidi" w:hAnsiTheme="majorBidi" w:cstheme="majorBidi"/>
          <w:sz w:val="24"/>
          <w:szCs w:val="24"/>
          <w:rtl/>
        </w:rPr>
        <w:t xml:space="preserve"> ו</w:t>
      </w:r>
      <w:r>
        <w:rPr>
          <w:rFonts w:asciiTheme="majorBidi" w:hAnsiTheme="majorBidi" w:cstheme="majorBidi" w:hint="cs"/>
          <w:sz w:val="24"/>
          <w:szCs w:val="24"/>
          <w:rtl/>
        </w:rPr>
        <w:t xml:space="preserve">כן </w:t>
      </w:r>
      <w:r w:rsidR="004863AD" w:rsidRPr="005A0FDC">
        <w:rPr>
          <w:rFonts w:asciiTheme="majorBidi" w:hAnsiTheme="majorBidi" w:cstheme="majorBidi"/>
          <w:sz w:val="24"/>
          <w:szCs w:val="24"/>
          <w:rtl/>
        </w:rPr>
        <w:t>בעיות יסוד בהן עוסק המחקר.</w:t>
      </w:r>
    </w:p>
    <w:p w:rsidR="004863AD" w:rsidRPr="005A0FDC" w:rsidRDefault="00443DE5"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רציונל: </w:t>
      </w:r>
      <w:r w:rsidR="004863AD" w:rsidRPr="005A0FDC">
        <w:rPr>
          <w:rFonts w:asciiTheme="majorBidi" w:hAnsiTheme="majorBidi" w:cstheme="majorBidi"/>
          <w:sz w:val="24"/>
          <w:szCs w:val="24"/>
          <w:rtl/>
        </w:rPr>
        <w:t>אחת מהתופעות התרבותיות החשובות בתולדותיה של הארץ בימי-הבינ</w:t>
      </w:r>
      <w:r w:rsidR="00022088" w:rsidRPr="005A0FDC">
        <w:rPr>
          <w:rFonts w:asciiTheme="majorBidi" w:hAnsiTheme="majorBidi" w:cstheme="majorBidi"/>
          <w:sz w:val="24"/>
          <w:szCs w:val="24"/>
          <w:rtl/>
        </w:rPr>
        <w:t>יים היא העלייה לרגל. תופעה זו</w:t>
      </w:r>
      <w:r w:rsidR="004863AD" w:rsidRPr="005A0FDC">
        <w:rPr>
          <w:rFonts w:asciiTheme="majorBidi" w:hAnsiTheme="majorBidi" w:cstheme="majorBidi"/>
          <w:sz w:val="24"/>
          <w:szCs w:val="24"/>
          <w:rtl/>
        </w:rPr>
        <w:t xml:space="preserve"> הותירה לנו מקורות רבים בדמותם של תיאורי מסע שנכתבו בידיהם של נוצרים, יהודים ומוסלמים. חומר מקורות עשיר זה, לצידן של עדויות אחרות (למשל, גיאוגרפיות וארכיאולוגיות), מאפשר לנו ללמוד רבות אודות היבטים שונים של התקופה. לדוגמה, מתיאורי נוסעים ניתן ללמוד על פולחן משותף של בני דתות שונות באתרים קדושים כאלה ואחרים</w:t>
      </w:r>
      <w:r w:rsidR="007A179F" w:rsidRPr="005A0FDC">
        <w:rPr>
          <w:rFonts w:asciiTheme="majorBidi" w:hAnsiTheme="majorBidi" w:cstheme="majorBidi"/>
          <w:sz w:val="24"/>
          <w:szCs w:val="24"/>
          <w:rtl/>
        </w:rPr>
        <w:t>, או על התפתחותן של דרכים. באמצעות</w:t>
      </w:r>
      <w:r w:rsidR="004863AD" w:rsidRPr="005A0FDC">
        <w:rPr>
          <w:rFonts w:asciiTheme="majorBidi" w:hAnsiTheme="majorBidi" w:cstheme="majorBidi"/>
          <w:sz w:val="24"/>
          <w:szCs w:val="24"/>
          <w:rtl/>
        </w:rPr>
        <w:t xml:space="preserve"> הצגתו של תחום מחקר זה, הקורס יאפשר לתלמידים לעסוק ב</w:t>
      </w:r>
      <w:r w:rsidR="001F22CF">
        <w:rPr>
          <w:rFonts w:asciiTheme="majorBidi" w:hAnsiTheme="majorBidi" w:cstheme="majorBidi" w:hint="cs"/>
          <w:sz w:val="24"/>
          <w:szCs w:val="24"/>
          <w:rtl/>
        </w:rPr>
        <w:t xml:space="preserve">מגוון רחב של </w:t>
      </w:r>
      <w:r w:rsidR="004863AD" w:rsidRPr="005A0FDC">
        <w:rPr>
          <w:rFonts w:asciiTheme="majorBidi" w:hAnsiTheme="majorBidi" w:cstheme="majorBidi"/>
          <w:sz w:val="24"/>
          <w:szCs w:val="24"/>
          <w:rtl/>
        </w:rPr>
        <w:t>שאלות הקשורות לנושאים של עלייה לרגל ומקומות קדושים.</w:t>
      </w:r>
    </w:p>
    <w:p w:rsidR="004863AD" w:rsidRPr="005A0FDC" w:rsidRDefault="004863AD" w:rsidP="004557D1">
      <w:pPr>
        <w:jc w:val="both"/>
        <w:rPr>
          <w:rFonts w:asciiTheme="majorBidi" w:hAnsiTheme="majorBidi" w:cstheme="majorBidi"/>
          <w:sz w:val="24"/>
          <w:szCs w:val="24"/>
          <w:rtl/>
        </w:rPr>
      </w:pPr>
    </w:p>
    <w:p w:rsidR="007A179F" w:rsidRPr="005A0FDC" w:rsidRDefault="007A179F" w:rsidP="004557D1">
      <w:pPr>
        <w:jc w:val="both"/>
        <w:rPr>
          <w:rFonts w:asciiTheme="majorBidi" w:hAnsiTheme="majorBidi" w:cstheme="majorBidi"/>
          <w:sz w:val="24"/>
          <w:szCs w:val="24"/>
          <w:rtl/>
        </w:rPr>
      </w:pPr>
      <w:r w:rsidRPr="001F22CF">
        <w:rPr>
          <w:rFonts w:asciiTheme="majorBidi" w:hAnsiTheme="majorBidi" w:cstheme="majorBidi"/>
          <w:sz w:val="24"/>
          <w:szCs w:val="24"/>
          <w:u w:val="single"/>
          <w:rtl/>
        </w:rPr>
        <w:t>רשימת נושאים וחומר לקריאה</w:t>
      </w:r>
      <w:r w:rsidR="001F22CF" w:rsidRPr="001F22CF">
        <w:rPr>
          <w:rStyle w:val="a5"/>
          <w:rFonts w:asciiTheme="majorBidi" w:hAnsiTheme="majorBidi" w:cstheme="majorBidi"/>
          <w:sz w:val="24"/>
          <w:szCs w:val="24"/>
          <w:rtl/>
        </w:rPr>
        <w:footnoteReference w:id="1"/>
      </w:r>
    </w:p>
    <w:p w:rsidR="007A179F"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1. </w:t>
      </w:r>
      <w:r w:rsidR="007A179F" w:rsidRPr="005A0FDC">
        <w:rPr>
          <w:rFonts w:asciiTheme="majorBidi" w:hAnsiTheme="majorBidi" w:cstheme="majorBidi"/>
          <w:sz w:val="24"/>
          <w:szCs w:val="24"/>
          <w:rtl/>
        </w:rPr>
        <w:t>רקע: תולדותיה של ארץ הקודש בתקופה הפראנקית</w:t>
      </w:r>
    </w:p>
    <w:p w:rsidR="004863AD" w:rsidRPr="005A0FDC" w:rsidRDefault="005A0FDC"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יהושע פראוור וב"ז קדר, "תקופת מסעי הצלב," בתוך: </w:t>
      </w:r>
      <w:r w:rsidRPr="005A0FDC">
        <w:rPr>
          <w:rFonts w:asciiTheme="majorBidi" w:hAnsiTheme="majorBidi" w:cstheme="majorBidi"/>
          <w:sz w:val="24"/>
          <w:szCs w:val="24"/>
          <w:u w:val="single"/>
          <w:rtl/>
        </w:rPr>
        <w:t>האינציקלופדיה העברית</w:t>
      </w:r>
      <w:r w:rsidRPr="005A0FDC">
        <w:rPr>
          <w:rFonts w:asciiTheme="majorBidi" w:hAnsiTheme="majorBidi" w:cstheme="majorBidi"/>
          <w:sz w:val="24"/>
          <w:szCs w:val="24"/>
          <w:rtl/>
        </w:rPr>
        <w:t>, כרך 6 (ירושלים, תשנ"ג), 657-633.</w:t>
      </w:r>
    </w:p>
    <w:p w:rsidR="007A179F"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2. </w:t>
      </w:r>
      <w:r w:rsidR="007A179F" w:rsidRPr="005A0FDC">
        <w:rPr>
          <w:rFonts w:asciiTheme="majorBidi" w:hAnsiTheme="majorBidi" w:cstheme="majorBidi"/>
          <w:sz w:val="24"/>
          <w:szCs w:val="24"/>
          <w:rtl/>
        </w:rPr>
        <w:t>מושגי יסוד</w:t>
      </w:r>
    </w:p>
    <w:p w:rsidR="007A179F" w:rsidRPr="005A0FDC" w:rsidRDefault="0040014F"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אורה לימור, אלחנן ריינר ומרים פרנקל, </w:t>
      </w:r>
      <w:r w:rsidRPr="005A0FDC">
        <w:rPr>
          <w:rFonts w:asciiTheme="majorBidi" w:hAnsiTheme="majorBidi" w:cstheme="majorBidi"/>
          <w:sz w:val="24"/>
          <w:szCs w:val="24"/>
          <w:u w:val="single"/>
          <w:rtl/>
        </w:rPr>
        <w:t>עלייה לרגל: יהודים, נוצרים ומוסלמים</w:t>
      </w:r>
      <w:r w:rsidRPr="005A0FDC">
        <w:rPr>
          <w:rFonts w:asciiTheme="majorBidi" w:hAnsiTheme="majorBidi" w:cstheme="majorBidi"/>
          <w:sz w:val="24"/>
          <w:szCs w:val="24"/>
          <w:rtl/>
        </w:rPr>
        <w:t xml:space="preserve"> (ירושלים, 2014), עמ' 42-13.</w:t>
      </w:r>
    </w:p>
    <w:p w:rsidR="004B0570"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3. </w:t>
      </w:r>
      <w:r w:rsidR="004B0570" w:rsidRPr="005A0FDC">
        <w:rPr>
          <w:rFonts w:asciiTheme="majorBidi" w:hAnsiTheme="majorBidi" w:cstheme="majorBidi"/>
          <w:sz w:val="24"/>
          <w:szCs w:val="24"/>
          <w:rtl/>
        </w:rPr>
        <w:t>העלייה לרגל היהודית והנוצרית בשלהי העת העתיקה</w:t>
      </w:r>
    </w:p>
    <w:p w:rsidR="007A179F" w:rsidRPr="005A0FDC" w:rsidRDefault="004B0570"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אורה לימור, אלחנן ריינר ומרים פרנקל, </w:t>
      </w:r>
      <w:r w:rsidRPr="005A0FDC">
        <w:rPr>
          <w:rFonts w:asciiTheme="majorBidi" w:hAnsiTheme="majorBidi" w:cstheme="majorBidi"/>
          <w:sz w:val="24"/>
          <w:szCs w:val="24"/>
          <w:u w:val="single"/>
          <w:rtl/>
        </w:rPr>
        <w:t>עלייה לרגל: יהודים, נוצרים ומוסלמים</w:t>
      </w:r>
      <w:r w:rsidRPr="005A0FDC">
        <w:rPr>
          <w:rFonts w:asciiTheme="majorBidi" w:hAnsiTheme="majorBidi" w:cstheme="majorBidi"/>
          <w:sz w:val="24"/>
          <w:szCs w:val="24"/>
          <w:rtl/>
        </w:rPr>
        <w:t xml:space="preserve"> (ירושלים, 2014), עמ' 96-43, </w:t>
      </w:r>
      <w:r w:rsidR="00306394" w:rsidRPr="005A0FDC">
        <w:rPr>
          <w:rFonts w:asciiTheme="majorBidi" w:hAnsiTheme="majorBidi" w:cstheme="majorBidi"/>
          <w:sz w:val="24"/>
          <w:szCs w:val="24"/>
          <w:rtl/>
        </w:rPr>
        <w:t>169-133.</w:t>
      </w:r>
    </w:p>
    <w:p w:rsidR="00306394"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4. </w:t>
      </w:r>
      <w:r w:rsidR="00306394" w:rsidRPr="005A0FDC">
        <w:rPr>
          <w:rFonts w:asciiTheme="majorBidi" w:hAnsiTheme="majorBidi" w:cstheme="majorBidi"/>
          <w:sz w:val="24"/>
          <w:szCs w:val="24"/>
          <w:rtl/>
        </w:rPr>
        <w:t>העלייה לרגל לירושלים בעולם האסלאם</w:t>
      </w:r>
    </w:p>
    <w:p w:rsidR="00306394" w:rsidRPr="005A0FDC" w:rsidRDefault="00306394" w:rsidP="004557D1">
      <w:pPr>
        <w:jc w:val="both"/>
        <w:rPr>
          <w:rFonts w:asciiTheme="majorBidi" w:hAnsiTheme="majorBidi" w:cstheme="majorBidi"/>
          <w:sz w:val="24"/>
          <w:szCs w:val="24"/>
          <w:rtl/>
        </w:rPr>
      </w:pPr>
      <w:r w:rsidRPr="005A0FDC">
        <w:rPr>
          <w:rFonts w:asciiTheme="majorBidi" w:hAnsiTheme="majorBidi" w:cstheme="majorBidi"/>
          <w:sz w:val="24"/>
          <w:szCs w:val="24"/>
          <w:rtl/>
        </w:rPr>
        <w:lastRenderedPageBreak/>
        <w:t xml:space="preserve">קריאה: אורה לימור, אלחנן ריינר ומרים פרנקל, </w:t>
      </w:r>
      <w:r w:rsidRPr="005A0FDC">
        <w:rPr>
          <w:rFonts w:asciiTheme="majorBidi" w:hAnsiTheme="majorBidi" w:cstheme="majorBidi"/>
          <w:sz w:val="24"/>
          <w:szCs w:val="24"/>
          <w:u w:val="single"/>
          <w:rtl/>
        </w:rPr>
        <w:t>עלייה לרגל: יהודים, נוצרים ומוסלמים</w:t>
      </w:r>
      <w:r w:rsidRPr="005A0FDC">
        <w:rPr>
          <w:rFonts w:asciiTheme="majorBidi" w:hAnsiTheme="majorBidi" w:cstheme="majorBidi"/>
          <w:sz w:val="24"/>
          <w:szCs w:val="24"/>
          <w:rtl/>
        </w:rPr>
        <w:t xml:space="preserve"> (ירושלים, 2014), עמ' 225-205.</w:t>
      </w:r>
    </w:p>
    <w:p w:rsidR="00F5056B"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5. </w:t>
      </w:r>
      <w:r w:rsidR="00F5056B" w:rsidRPr="005A0FDC">
        <w:rPr>
          <w:rFonts w:asciiTheme="majorBidi" w:hAnsiTheme="majorBidi" w:cstheme="majorBidi"/>
          <w:sz w:val="24"/>
          <w:szCs w:val="24"/>
          <w:rtl/>
        </w:rPr>
        <w:t>התנגדות לעלייה לרגל</w:t>
      </w:r>
    </w:p>
    <w:p w:rsidR="00F5056B" w:rsidRPr="005A0FDC" w:rsidRDefault="00F5056B"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w:t>
      </w:r>
      <w:r w:rsidRPr="005A0FDC">
        <w:rPr>
          <w:rFonts w:asciiTheme="majorBidi" w:hAnsiTheme="majorBidi" w:cstheme="majorBidi"/>
          <w:sz w:val="24"/>
          <w:szCs w:val="24"/>
        </w:rPr>
        <w:t xml:space="preserve">Giles constable, "Opposition to Pilgrimage in the Middle Ages," </w:t>
      </w:r>
      <w:proofErr w:type="spellStart"/>
      <w:r w:rsidRPr="005A0FDC">
        <w:rPr>
          <w:rFonts w:asciiTheme="majorBidi" w:hAnsiTheme="majorBidi" w:cstheme="majorBidi"/>
          <w:i/>
          <w:iCs/>
          <w:sz w:val="24"/>
          <w:szCs w:val="24"/>
        </w:rPr>
        <w:t>Studia</w:t>
      </w:r>
      <w:proofErr w:type="spellEnd"/>
      <w:r w:rsidRPr="005A0FDC">
        <w:rPr>
          <w:rFonts w:asciiTheme="majorBidi" w:hAnsiTheme="majorBidi" w:cstheme="majorBidi"/>
          <w:i/>
          <w:iCs/>
          <w:sz w:val="24"/>
          <w:szCs w:val="24"/>
        </w:rPr>
        <w:t xml:space="preserve"> </w:t>
      </w:r>
      <w:proofErr w:type="spellStart"/>
      <w:r w:rsidRPr="005A0FDC">
        <w:rPr>
          <w:rFonts w:asciiTheme="majorBidi" w:hAnsiTheme="majorBidi" w:cstheme="majorBidi"/>
          <w:i/>
          <w:iCs/>
          <w:sz w:val="24"/>
          <w:szCs w:val="24"/>
        </w:rPr>
        <w:t>Gratiana</w:t>
      </w:r>
      <w:proofErr w:type="spellEnd"/>
      <w:r w:rsidRPr="005A0FDC">
        <w:rPr>
          <w:rFonts w:asciiTheme="majorBidi" w:hAnsiTheme="majorBidi" w:cstheme="majorBidi"/>
          <w:sz w:val="24"/>
          <w:szCs w:val="24"/>
        </w:rPr>
        <w:t xml:space="preserve"> 19 (1976), p. 123-146.</w:t>
      </w:r>
    </w:p>
    <w:p w:rsidR="00306394"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6. </w:t>
      </w:r>
      <w:r w:rsidR="00306394" w:rsidRPr="005A0FDC">
        <w:rPr>
          <w:rFonts w:asciiTheme="majorBidi" w:hAnsiTheme="majorBidi" w:cstheme="majorBidi"/>
          <w:sz w:val="24"/>
          <w:szCs w:val="24"/>
          <w:rtl/>
        </w:rPr>
        <w:t>ספרות צלייני</w:t>
      </w:r>
      <w:r w:rsidR="009716DD" w:rsidRPr="005A0FDC">
        <w:rPr>
          <w:rFonts w:asciiTheme="majorBidi" w:hAnsiTheme="majorBidi" w:cstheme="majorBidi"/>
          <w:sz w:val="24"/>
          <w:szCs w:val="24"/>
          <w:rtl/>
        </w:rPr>
        <w:t>ת נוצרית</w:t>
      </w:r>
    </w:p>
    <w:p w:rsidR="00306394" w:rsidRPr="005A0FDC" w:rsidRDefault="00713760"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אריה גראבויס, "מן 'הגיאוגרפיה הקדושה' ל'כתיבת ארץ-ישראל': תמורות בתיאוריה של ארץ ישראל ע"י צליינים במאה הי"ג," </w:t>
      </w:r>
      <w:r w:rsidRPr="005A0FDC">
        <w:rPr>
          <w:rFonts w:asciiTheme="majorBidi" w:hAnsiTheme="majorBidi" w:cstheme="majorBidi"/>
          <w:sz w:val="24"/>
          <w:szCs w:val="24"/>
          <w:u w:val="single"/>
          <w:rtl/>
        </w:rPr>
        <w:t>קתדרה</w:t>
      </w:r>
      <w:r w:rsidRPr="005A0FDC">
        <w:rPr>
          <w:rFonts w:asciiTheme="majorBidi" w:hAnsiTheme="majorBidi" w:cstheme="majorBidi"/>
          <w:sz w:val="24"/>
          <w:szCs w:val="24"/>
          <w:rtl/>
        </w:rPr>
        <w:t xml:space="preserve"> 31 (תשמ"ד), עמ' 66-43.</w:t>
      </w:r>
    </w:p>
    <w:p w:rsidR="00306394"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7. ס</w:t>
      </w:r>
      <w:r w:rsidR="009716DD" w:rsidRPr="005A0FDC">
        <w:rPr>
          <w:rFonts w:asciiTheme="majorBidi" w:hAnsiTheme="majorBidi" w:cstheme="majorBidi"/>
          <w:sz w:val="24"/>
          <w:szCs w:val="24"/>
          <w:rtl/>
        </w:rPr>
        <w:t>פרות נוסעים עברית</w:t>
      </w:r>
    </w:p>
    <w:p w:rsidR="009716DD" w:rsidRPr="005A0FDC" w:rsidRDefault="009716DD"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יהושע פראוור, </w:t>
      </w:r>
      <w:r w:rsidRPr="005A0FDC">
        <w:rPr>
          <w:rFonts w:asciiTheme="majorBidi" w:hAnsiTheme="majorBidi" w:cstheme="majorBidi"/>
          <w:sz w:val="24"/>
          <w:szCs w:val="24"/>
          <w:u w:val="single"/>
          <w:rtl/>
        </w:rPr>
        <w:t>תולדות היהודים בממלכת הצלבנים</w:t>
      </w:r>
      <w:r w:rsidRPr="005A0FDC">
        <w:rPr>
          <w:rFonts w:asciiTheme="majorBidi" w:hAnsiTheme="majorBidi" w:cstheme="majorBidi"/>
          <w:sz w:val="24"/>
          <w:szCs w:val="24"/>
          <w:rtl/>
        </w:rPr>
        <w:t xml:space="preserve"> (ירושלים, 2000), עמ' 243-175.</w:t>
      </w:r>
    </w:p>
    <w:p w:rsidR="00B94B5C"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8. </w:t>
      </w:r>
      <w:r w:rsidR="00B94B5C" w:rsidRPr="005A0FDC">
        <w:rPr>
          <w:rFonts w:asciiTheme="majorBidi" w:hAnsiTheme="majorBidi" w:cstheme="majorBidi"/>
          <w:sz w:val="24"/>
          <w:szCs w:val="24"/>
          <w:rtl/>
        </w:rPr>
        <w:t>הנוסע, המחבר והטקסט: בעיות במסירתם של תיאורי מסע</w:t>
      </w:r>
    </w:p>
    <w:p w:rsidR="00B94B5C" w:rsidRPr="005A0FDC" w:rsidRDefault="00B94B5C"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w:t>
      </w:r>
      <w:r w:rsidRPr="005A0FDC">
        <w:rPr>
          <w:rFonts w:asciiTheme="majorBidi" w:hAnsiTheme="majorBidi" w:cstheme="majorBidi"/>
          <w:sz w:val="24"/>
          <w:szCs w:val="24"/>
        </w:rPr>
        <w:t xml:space="preserve">David Jacoby, "Benjamin of </w:t>
      </w:r>
      <w:proofErr w:type="spellStart"/>
      <w:r w:rsidRPr="005A0FDC">
        <w:rPr>
          <w:rFonts w:asciiTheme="majorBidi" w:hAnsiTheme="majorBidi" w:cstheme="majorBidi"/>
          <w:sz w:val="24"/>
          <w:szCs w:val="24"/>
        </w:rPr>
        <w:t>Tudela</w:t>
      </w:r>
      <w:proofErr w:type="spellEnd"/>
      <w:r w:rsidRPr="005A0FDC">
        <w:rPr>
          <w:rFonts w:asciiTheme="majorBidi" w:hAnsiTheme="majorBidi" w:cstheme="majorBidi"/>
          <w:sz w:val="24"/>
          <w:szCs w:val="24"/>
        </w:rPr>
        <w:t xml:space="preserve"> and his 'Book of Marvels'," in Klaus </w:t>
      </w:r>
      <w:proofErr w:type="spellStart"/>
      <w:r w:rsidRPr="005A0FDC">
        <w:rPr>
          <w:rFonts w:asciiTheme="majorBidi" w:hAnsiTheme="majorBidi" w:cstheme="majorBidi"/>
          <w:sz w:val="24"/>
          <w:szCs w:val="24"/>
        </w:rPr>
        <w:t>Herbers</w:t>
      </w:r>
      <w:proofErr w:type="spellEnd"/>
      <w:r w:rsidRPr="005A0FDC">
        <w:rPr>
          <w:rFonts w:asciiTheme="majorBidi" w:hAnsiTheme="majorBidi" w:cstheme="majorBidi"/>
          <w:sz w:val="24"/>
          <w:szCs w:val="24"/>
        </w:rPr>
        <w:t xml:space="preserve"> and Felicitas </w:t>
      </w:r>
      <w:proofErr w:type="spellStart"/>
      <w:r w:rsidR="00887432" w:rsidRPr="005A0FDC">
        <w:rPr>
          <w:rFonts w:asciiTheme="majorBidi" w:hAnsiTheme="majorBidi" w:cstheme="majorBidi"/>
          <w:sz w:val="24"/>
          <w:szCs w:val="24"/>
        </w:rPr>
        <w:t>Schmieder</w:t>
      </w:r>
      <w:proofErr w:type="spellEnd"/>
      <w:r w:rsidR="00887432" w:rsidRPr="005A0FDC">
        <w:rPr>
          <w:rFonts w:asciiTheme="majorBidi" w:hAnsiTheme="majorBidi" w:cstheme="majorBidi"/>
          <w:sz w:val="24"/>
          <w:szCs w:val="24"/>
        </w:rPr>
        <w:t xml:space="preserve"> (eds.), </w:t>
      </w:r>
      <w:proofErr w:type="spellStart"/>
      <w:r w:rsidR="00887432" w:rsidRPr="005A0FDC">
        <w:rPr>
          <w:rFonts w:asciiTheme="majorBidi" w:hAnsiTheme="majorBidi" w:cstheme="majorBidi"/>
          <w:i/>
          <w:iCs/>
          <w:sz w:val="24"/>
          <w:szCs w:val="24"/>
        </w:rPr>
        <w:t>Venezia</w:t>
      </w:r>
      <w:proofErr w:type="spellEnd"/>
      <w:r w:rsidR="00887432" w:rsidRPr="005A0FDC">
        <w:rPr>
          <w:rFonts w:asciiTheme="majorBidi" w:hAnsiTheme="majorBidi" w:cstheme="majorBidi"/>
          <w:i/>
          <w:iCs/>
          <w:sz w:val="24"/>
          <w:szCs w:val="24"/>
        </w:rPr>
        <w:t xml:space="preserve"> </w:t>
      </w:r>
      <w:proofErr w:type="spellStart"/>
      <w:r w:rsidR="00887432" w:rsidRPr="005A0FDC">
        <w:rPr>
          <w:rFonts w:asciiTheme="majorBidi" w:hAnsiTheme="majorBidi" w:cstheme="majorBidi"/>
          <w:i/>
          <w:iCs/>
          <w:sz w:val="24"/>
          <w:szCs w:val="24"/>
        </w:rPr>
        <w:t>incrocio</w:t>
      </w:r>
      <w:proofErr w:type="spellEnd"/>
      <w:r w:rsidR="00887432" w:rsidRPr="005A0FDC">
        <w:rPr>
          <w:rFonts w:asciiTheme="majorBidi" w:hAnsiTheme="majorBidi" w:cstheme="majorBidi"/>
          <w:i/>
          <w:iCs/>
          <w:sz w:val="24"/>
          <w:szCs w:val="24"/>
        </w:rPr>
        <w:t xml:space="preserve"> de culture</w:t>
      </w:r>
      <w:r w:rsidR="00887432" w:rsidRPr="005A0FDC">
        <w:rPr>
          <w:rFonts w:asciiTheme="majorBidi" w:hAnsiTheme="majorBidi" w:cstheme="majorBidi"/>
          <w:sz w:val="24"/>
          <w:szCs w:val="24"/>
        </w:rPr>
        <w:t xml:space="preserve"> (Rome, 2008), 135-164.</w:t>
      </w:r>
    </w:p>
    <w:p w:rsidR="00306394"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9. </w:t>
      </w:r>
      <w:r w:rsidR="007A5DD8" w:rsidRPr="005A0FDC">
        <w:rPr>
          <w:rFonts w:asciiTheme="majorBidi" w:hAnsiTheme="majorBidi" w:cstheme="majorBidi"/>
          <w:sz w:val="24"/>
          <w:szCs w:val="24"/>
          <w:rtl/>
        </w:rPr>
        <w:t>הנוסע והתרבות המקומית</w:t>
      </w:r>
    </w:p>
    <w:p w:rsidR="007A5DD8" w:rsidRPr="005A0FDC" w:rsidRDefault="007A5DD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w:t>
      </w:r>
      <w:r w:rsidR="00A877CC" w:rsidRPr="005A0FDC">
        <w:rPr>
          <w:rFonts w:asciiTheme="majorBidi" w:hAnsiTheme="majorBidi" w:cstheme="majorBidi"/>
          <w:sz w:val="24"/>
          <w:szCs w:val="24"/>
          <w:rtl/>
        </w:rPr>
        <w:t xml:space="preserve">אלחנן ריינר, "'מפיהם ולא מפי כתבם': על דרכי רישומה של </w:t>
      </w:r>
      <w:r w:rsidR="006F161C" w:rsidRPr="005A0FDC">
        <w:rPr>
          <w:rFonts w:asciiTheme="majorBidi" w:hAnsiTheme="majorBidi" w:cstheme="majorBidi"/>
          <w:sz w:val="24"/>
          <w:szCs w:val="24"/>
          <w:rtl/>
        </w:rPr>
        <w:t>מסורת המקומות הקדושים בארץ-ישראל בימי הביניים,</w:t>
      </w:r>
      <w:r w:rsidR="00A877CC" w:rsidRPr="005A0FDC">
        <w:rPr>
          <w:rFonts w:asciiTheme="majorBidi" w:hAnsiTheme="majorBidi" w:cstheme="majorBidi"/>
          <w:sz w:val="24"/>
          <w:szCs w:val="24"/>
          <w:rtl/>
        </w:rPr>
        <w:t>"</w:t>
      </w:r>
      <w:r w:rsidR="006F161C" w:rsidRPr="005A0FDC">
        <w:rPr>
          <w:rFonts w:asciiTheme="majorBidi" w:hAnsiTheme="majorBidi" w:cstheme="majorBidi"/>
          <w:sz w:val="24"/>
          <w:szCs w:val="24"/>
          <w:rtl/>
        </w:rPr>
        <w:t xml:space="preserve"> בתוך יהושע בן-אריה ואלחנן ריינר (עורכים), </w:t>
      </w:r>
      <w:r w:rsidR="006F161C" w:rsidRPr="005A0FDC">
        <w:rPr>
          <w:rFonts w:asciiTheme="majorBidi" w:hAnsiTheme="majorBidi" w:cstheme="majorBidi"/>
          <w:sz w:val="24"/>
          <w:szCs w:val="24"/>
          <w:u w:val="single"/>
          <w:rtl/>
        </w:rPr>
        <w:t>וזאת ליהודה: מחקרים בתולדות ארץ-ישראל ויישובה</w:t>
      </w:r>
      <w:r w:rsidR="006F161C" w:rsidRPr="005A0FDC">
        <w:rPr>
          <w:rFonts w:asciiTheme="majorBidi" w:hAnsiTheme="majorBidi" w:cstheme="majorBidi"/>
          <w:sz w:val="24"/>
          <w:szCs w:val="24"/>
          <w:rtl/>
        </w:rPr>
        <w:t xml:space="preserve">, מוגשים ליהודה בן פורת (ירושלים, 2003), עמ' 344-308. </w:t>
      </w:r>
    </w:p>
    <w:p w:rsidR="00D0178E"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10. </w:t>
      </w:r>
      <w:r w:rsidR="00D0178E" w:rsidRPr="005A0FDC">
        <w:rPr>
          <w:rFonts w:asciiTheme="majorBidi" w:hAnsiTheme="majorBidi" w:cstheme="majorBidi"/>
          <w:sz w:val="24"/>
          <w:szCs w:val="24"/>
          <w:rtl/>
        </w:rPr>
        <w:t>המשכיות ושינוי במסורות אודות אתרים קדושים</w:t>
      </w:r>
    </w:p>
    <w:p w:rsidR="00D0178E" w:rsidRPr="005A0FDC" w:rsidRDefault="001F22CF" w:rsidP="004557D1">
      <w:pPr>
        <w:jc w:val="both"/>
        <w:rPr>
          <w:rFonts w:asciiTheme="majorBidi" w:hAnsiTheme="majorBidi" w:cstheme="majorBidi"/>
          <w:sz w:val="24"/>
          <w:szCs w:val="24"/>
          <w:rtl/>
        </w:rPr>
      </w:pPr>
      <w:r>
        <w:rPr>
          <w:rFonts w:asciiTheme="majorBidi" w:hAnsiTheme="majorBidi" w:cstheme="majorBidi"/>
          <w:sz w:val="24"/>
          <w:szCs w:val="24"/>
          <w:rtl/>
        </w:rPr>
        <w:t>קריאה: אורה לימור,</w:t>
      </w:r>
      <w:r>
        <w:rPr>
          <w:rFonts w:asciiTheme="majorBidi" w:hAnsiTheme="majorBidi" w:cstheme="majorBidi" w:hint="cs"/>
          <w:sz w:val="24"/>
          <w:szCs w:val="24"/>
          <w:rtl/>
        </w:rPr>
        <w:t xml:space="preserve"> "</w:t>
      </w:r>
      <w:r w:rsidRPr="001F22CF">
        <w:rPr>
          <w:rFonts w:asciiTheme="majorBidi" w:hAnsiTheme="majorBidi" w:cstheme="majorBidi"/>
          <w:color w:val="252525"/>
          <w:sz w:val="24"/>
          <w:szCs w:val="24"/>
          <w:shd w:val="clear" w:color="auto" w:fill="FFFFFF"/>
          <w:rtl/>
        </w:rPr>
        <w:t>קבר דוד בהר-ציון : למקורותיה של מסורת</w:t>
      </w:r>
      <w:r>
        <w:rPr>
          <w:rFonts w:asciiTheme="majorBidi" w:hAnsiTheme="majorBidi" w:cstheme="majorBidi" w:hint="cs"/>
          <w:color w:val="252525"/>
          <w:sz w:val="24"/>
          <w:szCs w:val="24"/>
          <w:shd w:val="clear" w:color="auto" w:fill="FFFFFF"/>
          <w:rtl/>
        </w:rPr>
        <w:t>,</w:t>
      </w:r>
      <w:r>
        <w:rPr>
          <w:rFonts w:asciiTheme="majorBidi" w:hAnsiTheme="majorBidi" w:cstheme="majorBidi" w:hint="cs"/>
          <w:sz w:val="24"/>
          <w:szCs w:val="24"/>
          <w:rtl/>
        </w:rPr>
        <w:t xml:space="preserve">" </w:t>
      </w:r>
      <w:r w:rsidR="00D0178E" w:rsidRPr="005A0FDC">
        <w:rPr>
          <w:rFonts w:asciiTheme="majorBidi" w:hAnsiTheme="majorBidi" w:cstheme="majorBidi"/>
          <w:sz w:val="24"/>
          <w:szCs w:val="24"/>
          <w:rtl/>
        </w:rPr>
        <w:t xml:space="preserve">בתוך: דוד יעקבי ויורם צפריר (עורכים), </w:t>
      </w:r>
      <w:r w:rsidR="00D0178E" w:rsidRPr="005A0FDC">
        <w:rPr>
          <w:rFonts w:asciiTheme="majorBidi" w:hAnsiTheme="majorBidi" w:cstheme="majorBidi"/>
          <w:sz w:val="24"/>
          <w:szCs w:val="24"/>
          <w:u w:val="single"/>
          <w:rtl/>
        </w:rPr>
        <w:t>יהודים, שומרונים ונוצרים בארץ ישראל הביזנטית</w:t>
      </w:r>
      <w:r w:rsidR="00D0178E" w:rsidRPr="005A0FDC">
        <w:rPr>
          <w:rFonts w:asciiTheme="majorBidi" w:hAnsiTheme="majorBidi" w:cstheme="majorBidi"/>
          <w:sz w:val="24"/>
          <w:szCs w:val="24"/>
          <w:rtl/>
        </w:rPr>
        <w:t xml:space="preserve"> (ירושלים, תשמ"ח), עמ' 23-11.</w:t>
      </w:r>
    </w:p>
    <w:p w:rsidR="00306394"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11. </w:t>
      </w:r>
      <w:r w:rsidR="00587710" w:rsidRPr="005A0FDC">
        <w:rPr>
          <w:rFonts w:asciiTheme="majorBidi" w:hAnsiTheme="majorBidi" w:cstheme="majorBidi"/>
          <w:sz w:val="24"/>
          <w:szCs w:val="24"/>
          <w:rtl/>
        </w:rPr>
        <w:t>אתרי פולחן משותף</w:t>
      </w:r>
    </w:p>
    <w:p w:rsidR="00306394" w:rsidRPr="005A0FDC" w:rsidRDefault="00587710" w:rsidP="004557D1">
      <w:pPr>
        <w:jc w:val="both"/>
        <w:rPr>
          <w:rFonts w:asciiTheme="majorBidi" w:hAnsiTheme="majorBidi" w:cstheme="majorBidi"/>
          <w:sz w:val="24"/>
          <w:szCs w:val="24"/>
        </w:rPr>
      </w:pPr>
      <w:r w:rsidRPr="005A0FDC">
        <w:rPr>
          <w:rFonts w:asciiTheme="majorBidi" w:hAnsiTheme="majorBidi" w:cstheme="majorBidi"/>
          <w:sz w:val="24"/>
          <w:szCs w:val="24"/>
          <w:rtl/>
        </w:rPr>
        <w:t xml:space="preserve">קריאה: </w:t>
      </w:r>
      <w:r w:rsidRPr="005A0FDC">
        <w:rPr>
          <w:rFonts w:asciiTheme="majorBidi" w:hAnsiTheme="majorBidi" w:cstheme="majorBidi"/>
          <w:sz w:val="24"/>
          <w:szCs w:val="24"/>
        </w:rPr>
        <w:t xml:space="preserve">Benjamin Z. </w:t>
      </w:r>
      <w:proofErr w:type="spellStart"/>
      <w:r w:rsidRPr="005A0FDC">
        <w:rPr>
          <w:rFonts w:asciiTheme="majorBidi" w:hAnsiTheme="majorBidi" w:cstheme="majorBidi"/>
          <w:sz w:val="24"/>
          <w:szCs w:val="24"/>
        </w:rPr>
        <w:t>Kedar</w:t>
      </w:r>
      <w:proofErr w:type="spellEnd"/>
      <w:r w:rsidRPr="005A0FDC">
        <w:rPr>
          <w:rFonts w:asciiTheme="majorBidi" w:hAnsiTheme="majorBidi" w:cstheme="majorBidi"/>
          <w:sz w:val="24"/>
          <w:szCs w:val="24"/>
        </w:rPr>
        <w:t xml:space="preserve">, "Convergences of Oriental Christian, Muslim and Frankish Worshippers: The Case of </w:t>
      </w:r>
      <w:proofErr w:type="spellStart"/>
      <w:r w:rsidRPr="005A0FDC">
        <w:rPr>
          <w:rFonts w:asciiTheme="majorBidi" w:hAnsiTheme="majorBidi" w:cstheme="majorBidi"/>
          <w:sz w:val="24"/>
          <w:szCs w:val="24"/>
        </w:rPr>
        <w:t>Saydnaya</w:t>
      </w:r>
      <w:proofErr w:type="spellEnd"/>
      <w:r w:rsidRPr="005A0FDC">
        <w:rPr>
          <w:rFonts w:asciiTheme="majorBidi" w:hAnsiTheme="majorBidi" w:cstheme="majorBidi"/>
          <w:sz w:val="24"/>
          <w:szCs w:val="24"/>
        </w:rPr>
        <w:t xml:space="preserve">," in Yitzhak Hen (ed.), </w:t>
      </w:r>
      <w:r w:rsidRPr="005A0FDC">
        <w:rPr>
          <w:rFonts w:asciiTheme="majorBidi" w:hAnsiTheme="majorBidi" w:cstheme="majorBidi"/>
          <w:i/>
          <w:iCs/>
          <w:sz w:val="24"/>
          <w:szCs w:val="24"/>
        </w:rPr>
        <w:t xml:space="preserve">De Sion </w:t>
      </w:r>
      <w:proofErr w:type="spellStart"/>
      <w:r w:rsidRPr="005A0FDC">
        <w:rPr>
          <w:rFonts w:asciiTheme="majorBidi" w:hAnsiTheme="majorBidi" w:cstheme="majorBidi"/>
          <w:i/>
          <w:iCs/>
          <w:sz w:val="24"/>
          <w:szCs w:val="24"/>
        </w:rPr>
        <w:t>exibit</w:t>
      </w:r>
      <w:proofErr w:type="spellEnd"/>
      <w:r w:rsidRPr="005A0FDC">
        <w:rPr>
          <w:rFonts w:asciiTheme="majorBidi" w:hAnsiTheme="majorBidi" w:cstheme="majorBidi"/>
          <w:i/>
          <w:iCs/>
          <w:sz w:val="24"/>
          <w:szCs w:val="24"/>
        </w:rPr>
        <w:t xml:space="preserve"> </w:t>
      </w:r>
      <w:proofErr w:type="spellStart"/>
      <w:r w:rsidRPr="005A0FDC">
        <w:rPr>
          <w:rFonts w:asciiTheme="majorBidi" w:hAnsiTheme="majorBidi" w:cstheme="majorBidi"/>
          <w:i/>
          <w:iCs/>
          <w:sz w:val="24"/>
          <w:szCs w:val="24"/>
        </w:rPr>
        <w:t>lex</w:t>
      </w:r>
      <w:proofErr w:type="spellEnd"/>
      <w:r w:rsidRPr="005A0FDC">
        <w:rPr>
          <w:rFonts w:asciiTheme="majorBidi" w:hAnsiTheme="majorBidi" w:cstheme="majorBidi"/>
          <w:i/>
          <w:iCs/>
          <w:sz w:val="24"/>
          <w:szCs w:val="24"/>
        </w:rPr>
        <w:t xml:space="preserve"> et verbum </w:t>
      </w:r>
      <w:proofErr w:type="spellStart"/>
      <w:r w:rsidRPr="005A0FDC">
        <w:rPr>
          <w:rFonts w:asciiTheme="majorBidi" w:hAnsiTheme="majorBidi" w:cstheme="majorBidi"/>
          <w:i/>
          <w:iCs/>
          <w:sz w:val="24"/>
          <w:szCs w:val="24"/>
        </w:rPr>
        <w:t>domini</w:t>
      </w:r>
      <w:proofErr w:type="spellEnd"/>
      <w:r w:rsidRPr="005A0FDC">
        <w:rPr>
          <w:rFonts w:asciiTheme="majorBidi" w:hAnsiTheme="majorBidi" w:cstheme="majorBidi"/>
          <w:i/>
          <w:iCs/>
          <w:sz w:val="24"/>
          <w:szCs w:val="24"/>
        </w:rPr>
        <w:t xml:space="preserve"> de </w:t>
      </w:r>
      <w:proofErr w:type="spellStart"/>
      <w:r w:rsidRPr="005A0FDC">
        <w:rPr>
          <w:rFonts w:asciiTheme="majorBidi" w:hAnsiTheme="majorBidi" w:cstheme="majorBidi"/>
          <w:i/>
          <w:iCs/>
          <w:sz w:val="24"/>
          <w:szCs w:val="24"/>
        </w:rPr>
        <w:t>Hierusalem</w:t>
      </w:r>
      <w:proofErr w:type="spellEnd"/>
      <w:r w:rsidRPr="005A0FDC">
        <w:rPr>
          <w:rFonts w:asciiTheme="majorBidi" w:hAnsiTheme="majorBidi" w:cstheme="majorBidi"/>
          <w:i/>
          <w:iCs/>
          <w:sz w:val="24"/>
          <w:szCs w:val="24"/>
        </w:rPr>
        <w:t xml:space="preserve">: Essays on Medieval Law, Liturgy and Literature in </w:t>
      </w:r>
      <w:proofErr w:type="spellStart"/>
      <w:r w:rsidRPr="005A0FDC">
        <w:rPr>
          <w:rFonts w:asciiTheme="majorBidi" w:hAnsiTheme="majorBidi" w:cstheme="majorBidi"/>
          <w:i/>
          <w:iCs/>
          <w:sz w:val="24"/>
          <w:szCs w:val="24"/>
        </w:rPr>
        <w:t>Honour</w:t>
      </w:r>
      <w:proofErr w:type="spellEnd"/>
      <w:r w:rsidRPr="005A0FDC">
        <w:rPr>
          <w:rFonts w:asciiTheme="majorBidi" w:hAnsiTheme="majorBidi" w:cstheme="majorBidi"/>
          <w:i/>
          <w:iCs/>
          <w:sz w:val="24"/>
          <w:szCs w:val="24"/>
        </w:rPr>
        <w:t xml:space="preserve"> of </w:t>
      </w:r>
      <w:proofErr w:type="spellStart"/>
      <w:r w:rsidRPr="005A0FDC">
        <w:rPr>
          <w:rFonts w:asciiTheme="majorBidi" w:hAnsiTheme="majorBidi" w:cstheme="majorBidi"/>
          <w:i/>
          <w:iCs/>
          <w:sz w:val="24"/>
          <w:szCs w:val="24"/>
        </w:rPr>
        <w:t>Amnon</w:t>
      </w:r>
      <w:proofErr w:type="spellEnd"/>
      <w:r w:rsidRPr="005A0FDC">
        <w:rPr>
          <w:rFonts w:asciiTheme="majorBidi" w:hAnsiTheme="majorBidi" w:cstheme="majorBidi"/>
          <w:i/>
          <w:iCs/>
          <w:sz w:val="24"/>
          <w:szCs w:val="24"/>
        </w:rPr>
        <w:t xml:space="preserve"> Linder</w:t>
      </w:r>
      <w:r w:rsidRPr="005A0FDC">
        <w:rPr>
          <w:rFonts w:asciiTheme="majorBidi" w:hAnsiTheme="majorBidi" w:cstheme="majorBidi"/>
          <w:sz w:val="24"/>
          <w:szCs w:val="24"/>
        </w:rPr>
        <w:t xml:space="preserve"> (Turnhout, 2001), pp. 59-69.</w:t>
      </w:r>
    </w:p>
    <w:p w:rsidR="00306394"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12. </w:t>
      </w:r>
      <w:r w:rsidR="00306394" w:rsidRPr="005A0FDC">
        <w:rPr>
          <w:rFonts w:asciiTheme="majorBidi" w:hAnsiTheme="majorBidi" w:cstheme="majorBidi"/>
          <w:sz w:val="24"/>
          <w:szCs w:val="24"/>
          <w:rtl/>
        </w:rPr>
        <w:t>מקומות קדושים ופולמוס בין דתי</w:t>
      </w:r>
    </w:p>
    <w:p w:rsidR="00443DE5" w:rsidRPr="005A0FDC" w:rsidRDefault="00306394" w:rsidP="004557D1">
      <w:pPr>
        <w:jc w:val="both"/>
        <w:rPr>
          <w:rFonts w:asciiTheme="majorBidi" w:hAnsiTheme="majorBidi" w:cstheme="majorBidi"/>
          <w:sz w:val="24"/>
          <w:szCs w:val="24"/>
          <w:rtl/>
        </w:rPr>
      </w:pPr>
      <w:r w:rsidRPr="005A0FDC">
        <w:rPr>
          <w:rFonts w:asciiTheme="majorBidi" w:hAnsiTheme="majorBidi" w:cstheme="majorBidi"/>
          <w:sz w:val="24"/>
          <w:szCs w:val="24"/>
          <w:rtl/>
        </w:rPr>
        <w:t xml:space="preserve">קריאה: אלחנן ריינר, "השקר הגלוי והאמת הנסתרת: נוצרים, יהודים ומקומות קדושים בארץ ישראל במאה הי"ב,"  </w:t>
      </w:r>
      <w:r w:rsidRPr="005A0FDC">
        <w:rPr>
          <w:rFonts w:asciiTheme="majorBidi" w:hAnsiTheme="majorBidi" w:cstheme="majorBidi"/>
          <w:sz w:val="24"/>
          <w:szCs w:val="24"/>
          <w:u w:val="single"/>
          <w:rtl/>
        </w:rPr>
        <w:t>ציון</w:t>
      </w:r>
      <w:r w:rsidRPr="005A0FDC">
        <w:rPr>
          <w:rFonts w:asciiTheme="majorBidi" w:hAnsiTheme="majorBidi" w:cstheme="majorBidi"/>
          <w:sz w:val="24"/>
          <w:szCs w:val="24"/>
          <w:rtl/>
        </w:rPr>
        <w:t xml:space="preserve"> סג (תשנ"ח), עמ' 188-157.</w:t>
      </w:r>
    </w:p>
    <w:p w:rsidR="00022088" w:rsidRPr="005A0FDC" w:rsidRDefault="00022088" w:rsidP="004557D1">
      <w:pPr>
        <w:jc w:val="both"/>
        <w:rPr>
          <w:rFonts w:asciiTheme="majorBidi" w:hAnsiTheme="majorBidi" w:cstheme="majorBidi"/>
          <w:sz w:val="24"/>
          <w:szCs w:val="24"/>
          <w:rtl/>
        </w:rPr>
      </w:pPr>
    </w:p>
    <w:p w:rsidR="00443DE5" w:rsidRPr="005A0FDC" w:rsidRDefault="00022088" w:rsidP="004557D1">
      <w:pPr>
        <w:jc w:val="both"/>
        <w:rPr>
          <w:rFonts w:asciiTheme="majorBidi" w:hAnsiTheme="majorBidi" w:cstheme="majorBidi"/>
          <w:sz w:val="24"/>
          <w:szCs w:val="24"/>
          <w:rtl/>
        </w:rPr>
      </w:pPr>
      <w:r w:rsidRPr="005A0FDC">
        <w:rPr>
          <w:rFonts w:asciiTheme="majorBidi" w:hAnsiTheme="majorBidi" w:cstheme="majorBidi"/>
          <w:b/>
          <w:bCs/>
          <w:sz w:val="24"/>
          <w:szCs w:val="24"/>
          <w:u w:val="single"/>
          <w:rtl/>
        </w:rPr>
        <w:t>חובות</w:t>
      </w:r>
      <w:r w:rsidRPr="005A0FDC">
        <w:rPr>
          <w:rFonts w:asciiTheme="majorBidi" w:hAnsiTheme="majorBidi" w:cstheme="majorBidi"/>
          <w:sz w:val="24"/>
          <w:szCs w:val="24"/>
          <w:rtl/>
        </w:rPr>
        <w:t>:</w:t>
      </w:r>
    </w:p>
    <w:p w:rsidR="00022088" w:rsidRPr="005A0FDC" w:rsidRDefault="00022088" w:rsidP="004557D1">
      <w:pPr>
        <w:jc w:val="both"/>
        <w:rPr>
          <w:rFonts w:asciiTheme="majorBidi" w:hAnsiTheme="majorBidi" w:cstheme="majorBidi"/>
          <w:sz w:val="24"/>
          <w:szCs w:val="24"/>
          <w:rtl/>
        </w:rPr>
      </w:pPr>
      <w:r w:rsidRPr="005A0FDC">
        <w:rPr>
          <w:rFonts w:asciiTheme="majorBidi" w:hAnsiTheme="majorBidi" w:cstheme="majorBidi"/>
          <w:sz w:val="24"/>
          <w:szCs w:val="24"/>
          <w:rtl/>
        </w:rPr>
        <w:t>השתתפות בשיעורים, הכנת הצגה לכיתה שתלווה בעבודה קצרה, ועבודה סמינריונית.</w:t>
      </w:r>
    </w:p>
    <w:p w:rsidR="00F5204E" w:rsidRDefault="00F5204E" w:rsidP="004557D1">
      <w:pPr>
        <w:jc w:val="both"/>
        <w:rPr>
          <w:rtl/>
        </w:rPr>
      </w:pPr>
    </w:p>
    <w:p w:rsidR="004F6334" w:rsidRPr="00F5204E" w:rsidRDefault="00F5204E" w:rsidP="004557D1">
      <w:pPr>
        <w:jc w:val="both"/>
        <w:rPr>
          <w:rFonts w:asciiTheme="majorBidi" w:hAnsiTheme="majorBidi" w:cstheme="majorBidi"/>
          <w:sz w:val="24"/>
          <w:szCs w:val="24"/>
          <w:rtl/>
        </w:rPr>
      </w:pPr>
      <w:r w:rsidRPr="00F5204E">
        <w:rPr>
          <w:rFonts w:asciiTheme="majorBidi" w:hAnsiTheme="majorBidi" w:cstheme="majorBidi"/>
          <w:sz w:val="24"/>
          <w:szCs w:val="24"/>
          <w:rtl/>
        </w:rPr>
        <w:t>מרכיבי הציון:</w:t>
      </w:r>
    </w:p>
    <w:p w:rsidR="00F5204E" w:rsidRPr="00F5204E" w:rsidRDefault="004A5C55" w:rsidP="004557D1">
      <w:pPr>
        <w:jc w:val="both"/>
        <w:rPr>
          <w:rFonts w:asciiTheme="majorBidi" w:hAnsiTheme="majorBidi" w:cstheme="majorBidi"/>
          <w:sz w:val="24"/>
          <w:szCs w:val="24"/>
          <w:rtl/>
        </w:rPr>
      </w:pPr>
      <w:r>
        <w:rPr>
          <w:rFonts w:asciiTheme="majorBidi" w:hAnsiTheme="majorBidi" w:cstheme="majorBidi" w:hint="cs"/>
          <w:sz w:val="24"/>
          <w:szCs w:val="24"/>
          <w:rtl/>
        </w:rPr>
        <w:t>העבודה הסמינריונית</w:t>
      </w:r>
    </w:p>
    <w:p w:rsidR="00F5204E" w:rsidRDefault="00F5204E" w:rsidP="004557D1">
      <w:pPr>
        <w:jc w:val="both"/>
        <w:rPr>
          <w:rtl/>
        </w:rPr>
      </w:pPr>
    </w:p>
    <w:p w:rsidR="00F5204E" w:rsidRDefault="00F5204E" w:rsidP="004557D1">
      <w:pPr>
        <w:jc w:val="both"/>
        <w:rPr>
          <w:rtl/>
        </w:rPr>
      </w:pPr>
    </w:p>
    <w:sectPr w:rsidR="00F5204E" w:rsidSect="00804A6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5C" w:rsidRDefault="00562B5C" w:rsidP="001F22CF">
      <w:pPr>
        <w:spacing w:after="0" w:line="240" w:lineRule="auto"/>
      </w:pPr>
      <w:r>
        <w:separator/>
      </w:r>
    </w:p>
  </w:endnote>
  <w:endnote w:type="continuationSeparator" w:id="0">
    <w:p w:rsidR="00562B5C" w:rsidRDefault="00562B5C" w:rsidP="001F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5C" w:rsidRDefault="00562B5C" w:rsidP="001F22CF">
      <w:pPr>
        <w:spacing w:after="0" w:line="240" w:lineRule="auto"/>
      </w:pPr>
      <w:r>
        <w:separator/>
      </w:r>
    </w:p>
  </w:footnote>
  <w:footnote w:type="continuationSeparator" w:id="0">
    <w:p w:rsidR="00562B5C" w:rsidRDefault="00562B5C" w:rsidP="001F22CF">
      <w:pPr>
        <w:spacing w:after="0" w:line="240" w:lineRule="auto"/>
      </w:pPr>
      <w:r>
        <w:continuationSeparator/>
      </w:r>
    </w:p>
  </w:footnote>
  <w:footnote w:id="1">
    <w:p w:rsidR="001F22CF" w:rsidRDefault="001F22CF">
      <w:pPr>
        <w:pStyle w:val="a3"/>
      </w:pPr>
      <w:r>
        <w:rPr>
          <w:rStyle w:val="a5"/>
        </w:rPr>
        <w:footnoteRef/>
      </w:r>
      <w:r>
        <w:rPr>
          <w:rtl/>
        </w:rPr>
        <w:t xml:space="preserve"> </w:t>
      </w:r>
      <w:r w:rsidRPr="005A0FDC">
        <w:rPr>
          <w:rFonts w:asciiTheme="majorBidi" w:hAnsiTheme="majorBidi" w:cstheme="majorBidi"/>
          <w:sz w:val="24"/>
          <w:szCs w:val="24"/>
          <w:rtl/>
        </w:rPr>
        <w:t>נושאים אלה יידונו בסמסטר א'. בסמסטר ב', כל שיעור יכלול הצגה של שלביה הראשונים של עבודתו של אחד התלמידים ולאחריה דיון</w:t>
      </w:r>
      <w:r>
        <w:rPr>
          <w:rFonts w:asciiTheme="majorBidi" w:hAnsiTheme="majorBidi" w:cstheme="majorBidi" w:hint="cs"/>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20"/>
    <w:rsid w:val="000137D2"/>
    <w:rsid w:val="00022088"/>
    <w:rsid w:val="000E7C71"/>
    <w:rsid w:val="001757A1"/>
    <w:rsid w:val="001F22CF"/>
    <w:rsid w:val="00217757"/>
    <w:rsid w:val="002D3CF1"/>
    <w:rsid w:val="00306394"/>
    <w:rsid w:val="0031628A"/>
    <w:rsid w:val="0040014F"/>
    <w:rsid w:val="00443DE5"/>
    <w:rsid w:val="004557D1"/>
    <w:rsid w:val="004863AD"/>
    <w:rsid w:val="004863DD"/>
    <w:rsid w:val="00497D76"/>
    <w:rsid w:val="004A5C55"/>
    <w:rsid w:val="004B0570"/>
    <w:rsid w:val="004F6334"/>
    <w:rsid w:val="00562B5C"/>
    <w:rsid w:val="005771BE"/>
    <w:rsid w:val="00587710"/>
    <w:rsid w:val="00594FF6"/>
    <w:rsid w:val="005A0FDC"/>
    <w:rsid w:val="005E576E"/>
    <w:rsid w:val="0069004A"/>
    <w:rsid w:val="006900DD"/>
    <w:rsid w:val="006922D8"/>
    <w:rsid w:val="006F161C"/>
    <w:rsid w:val="00713760"/>
    <w:rsid w:val="0075282A"/>
    <w:rsid w:val="0076770F"/>
    <w:rsid w:val="007A179F"/>
    <w:rsid w:val="007A5DD8"/>
    <w:rsid w:val="00804A61"/>
    <w:rsid w:val="008165E1"/>
    <w:rsid w:val="00830646"/>
    <w:rsid w:val="00883900"/>
    <w:rsid w:val="00887432"/>
    <w:rsid w:val="008F2F22"/>
    <w:rsid w:val="008F58B0"/>
    <w:rsid w:val="009716DD"/>
    <w:rsid w:val="00986BF4"/>
    <w:rsid w:val="00A877CC"/>
    <w:rsid w:val="00B114B9"/>
    <w:rsid w:val="00B94B5C"/>
    <w:rsid w:val="00C51415"/>
    <w:rsid w:val="00C73185"/>
    <w:rsid w:val="00CA5E0A"/>
    <w:rsid w:val="00D0178E"/>
    <w:rsid w:val="00DA616E"/>
    <w:rsid w:val="00E06B4A"/>
    <w:rsid w:val="00E67720"/>
    <w:rsid w:val="00F5056B"/>
    <w:rsid w:val="00F5204E"/>
    <w:rsid w:val="00F53AA8"/>
    <w:rsid w:val="00FB0CC6"/>
    <w:rsid w:val="00FB7FEF"/>
    <w:rsid w:val="00FF2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29FC-3EC0-4E02-84FB-BE963D6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22CF"/>
    <w:pPr>
      <w:spacing w:after="0" w:line="240" w:lineRule="auto"/>
    </w:pPr>
    <w:rPr>
      <w:sz w:val="20"/>
      <w:szCs w:val="20"/>
    </w:rPr>
  </w:style>
  <w:style w:type="character" w:customStyle="1" w:styleId="a4">
    <w:name w:val="טקסט הערת שוליים תו"/>
    <w:basedOn w:val="a0"/>
    <w:link w:val="a3"/>
    <w:uiPriority w:val="99"/>
    <w:semiHidden/>
    <w:rsid w:val="001F22CF"/>
    <w:rPr>
      <w:sz w:val="20"/>
      <w:szCs w:val="20"/>
    </w:rPr>
  </w:style>
  <w:style w:type="character" w:styleId="a5">
    <w:name w:val="footnote reference"/>
    <w:basedOn w:val="a0"/>
    <w:uiPriority w:val="99"/>
    <w:semiHidden/>
    <w:unhideWhenUsed/>
    <w:rsid w:val="001F22CF"/>
    <w:rPr>
      <w:vertAlign w:val="superscript"/>
    </w:rPr>
  </w:style>
  <w:style w:type="paragraph" w:styleId="a6">
    <w:name w:val="Balloon Text"/>
    <w:basedOn w:val="a"/>
    <w:link w:val="a7"/>
    <w:uiPriority w:val="99"/>
    <w:semiHidden/>
    <w:unhideWhenUsed/>
    <w:rsid w:val="004557D1"/>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4557D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9551-A674-4359-BD32-C70B2AB3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2766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Israel Dept</cp:lastModifiedBy>
  <cp:revision>4</cp:revision>
  <cp:lastPrinted>2018-04-23T09:04:00Z</cp:lastPrinted>
  <dcterms:created xsi:type="dcterms:W3CDTF">2018-04-17T12:32:00Z</dcterms:created>
  <dcterms:modified xsi:type="dcterms:W3CDTF">2018-04-23T09:06:00Z</dcterms:modified>
</cp:coreProperties>
</file>