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8E4" w:rsidRPr="00A86848" w:rsidRDefault="006D239A" w:rsidP="00755FDF">
      <w:pPr>
        <w:bidi/>
        <w:jc w:val="center"/>
        <w:rPr>
          <w:b/>
          <w:bCs/>
          <w:sz w:val="24"/>
          <w:szCs w:val="24"/>
          <w:u w:val="single"/>
          <w:rtl/>
          <w:lang w:bidi="he-IL"/>
        </w:rPr>
      </w:pPr>
      <w:r w:rsidRPr="00A86848">
        <w:rPr>
          <w:b/>
          <w:bCs/>
          <w:sz w:val="24"/>
          <w:szCs w:val="24"/>
          <w:u w:val="single"/>
          <w:rtl/>
          <w:lang w:bidi="he-IL"/>
        </w:rPr>
        <w:t>מסע הצלב הראשון</w:t>
      </w:r>
      <w:r w:rsidRPr="00A86848">
        <w:rPr>
          <w:b/>
          <w:bCs/>
          <w:sz w:val="24"/>
          <w:szCs w:val="24"/>
          <w:u w:val="single"/>
          <w:rtl/>
        </w:rPr>
        <w:t xml:space="preserve">: </w:t>
      </w:r>
      <w:r w:rsidRPr="00A86848">
        <w:rPr>
          <w:b/>
          <w:bCs/>
          <w:sz w:val="24"/>
          <w:szCs w:val="24"/>
          <w:u w:val="single"/>
          <w:rtl/>
          <w:lang w:bidi="he-IL"/>
        </w:rPr>
        <w:t>קריאה בתיאוריהם של עדי ראיה</w:t>
      </w:r>
    </w:p>
    <w:p w:rsidR="00A86848" w:rsidRPr="00A86848" w:rsidRDefault="00A86848" w:rsidP="00A86848">
      <w:pPr>
        <w:bidi/>
        <w:jc w:val="center"/>
        <w:rPr>
          <w:b/>
          <w:bCs/>
          <w:sz w:val="24"/>
          <w:szCs w:val="24"/>
          <w:rtl/>
          <w:lang w:bidi="he-IL"/>
        </w:rPr>
      </w:pPr>
      <w:r w:rsidRPr="00A86848">
        <w:rPr>
          <w:rFonts w:hint="cs"/>
          <w:b/>
          <w:bCs/>
          <w:sz w:val="24"/>
          <w:szCs w:val="24"/>
          <w:rtl/>
          <w:lang w:bidi="he-IL"/>
        </w:rPr>
        <w:t>מרצה הקורס: ד"ר יונתן רובין</w:t>
      </w:r>
    </w:p>
    <w:p w:rsidR="00A86848" w:rsidRPr="00A86848" w:rsidRDefault="00A86848" w:rsidP="00A86848">
      <w:pPr>
        <w:bidi/>
        <w:jc w:val="center"/>
        <w:rPr>
          <w:b/>
          <w:bCs/>
          <w:sz w:val="24"/>
          <w:szCs w:val="24"/>
          <w:rtl/>
          <w:lang w:bidi="he-IL"/>
        </w:rPr>
      </w:pPr>
      <w:r w:rsidRPr="00A86848">
        <w:rPr>
          <w:rFonts w:hint="cs"/>
          <w:b/>
          <w:bCs/>
          <w:sz w:val="24"/>
          <w:szCs w:val="24"/>
          <w:rtl/>
          <w:lang w:bidi="he-IL"/>
        </w:rPr>
        <w:t>קורס מס: 16-324-01</w:t>
      </w:r>
    </w:p>
    <w:p w:rsidR="006D239A" w:rsidRPr="00A86848" w:rsidRDefault="001F073E" w:rsidP="001F073E">
      <w:pPr>
        <w:tabs>
          <w:tab w:val="left" w:pos="3165"/>
          <w:tab w:val="center" w:pos="4680"/>
        </w:tabs>
        <w:bidi/>
        <w:jc w:val="center"/>
        <w:rPr>
          <w:b/>
          <w:bCs/>
          <w:sz w:val="24"/>
          <w:szCs w:val="24"/>
          <w:rtl/>
          <w:lang w:bidi="he-IL"/>
        </w:rPr>
      </w:pPr>
      <w:r>
        <w:rPr>
          <w:rFonts w:hint="cs"/>
          <w:b/>
          <w:bCs/>
          <w:sz w:val="24"/>
          <w:szCs w:val="24"/>
          <w:rtl/>
          <w:lang w:bidi="he-IL"/>
        </w:rPr>
        <w:t xml:space="preserve">שנה: תשע"ט </w:t>
      </w:r>
      <w:r>
        <w:rPr>
          <w:rFonts w:hint="cs"/>
          <w:b/>
          <w:bCs/>
          <w:sz w:val="24"/>
          <w:szCs w:val="24"/>
          <w:rtl/>
          <w:lang w:bidi="he-IL"/>
        </w:rPr>
        <w:tab/>
      </w:r>
      <w:r w:rsidR="00A86848" w:rsidRPr="00A86848">
        <w:rPr>
          <w:rFonts w:hint="cs"/>
          <w:b/>
          <w:bCs/>
          <w:sz w:val="24"/>
          <w:szCs w:val="24"/>
          <w:rtl/>
          <w:lang w:bidi="he-IL"/>
        </w:rPr>
        <w:t>סמסטר א':</w:t>
      </w:r>
      <w:r>
        <w:rPr>
          <w:rFonts w:hint="cs"/>
          <w:b/>
          <w:bCs/>
          <w:sz w:val="24"/>
          <w:szCs w:val="24"/>
          <w:rtl/>
          <w:lang w:bidi="he-IL"/>
        </w:rPr>
        <w:t xml:space="preserve"> 1 ש"ש </w:t>
      </w:r>
      <w:bookmarkStart w:id="0" w:name="_GoBack"/>
      <w:bookmarkEnd w:id="0"/>
      <w:r w:rsidR="00A86848" w:rsidRPr="00A86848">
        <w:rPr>
          <w:rFonts w:hint="cs"/>
          <w:b/>
          <w:bCs/>
          <w:sz w:val="24"/>
          <w:szCs w:val="24"/>
          <w:rtl/>
          <w:lang w:bidi="he-IL"/>
        </w:rPr>
        <w:t xml:space="preserve"> </w:t>
      </w:r>
      <w:r>
        <w:rPr>
          <w:b/>
          <w:bCs/>
          <w:sz w:val="24"/>
          <w:szCs w:val="24"/>
          <w:rtl/>
          <w:lang w:bidi="he-IL"/>
        </w:rPr>
        <w:tab/>
      </w:r>
      <w:r>
        <w:rPr>
          <w:b/>
          <w:bCs/>
          <w:sz w:val="24"/>
          <w:szCs w:val="24"/>
          <w:rtl/>
          <w:lang w:bidi="he-IL"/>
        </w:rPr>
        <w:tab/>
      </w:r>
      <w:r w:rsidR="00A86848" w:rsidRPr="00A86848">
        <w:rPr>
          <w:rFonts w:hint="cs"/>
          <w:b/>
          <w:bCs/>
          <w:sz w:val="24"/>
          <w:szCs w:val="24"/>
          <w:rtl/>
          <w:lang w:bidi="he-IL"/>
        </w:rPr>
        <w:t>סוג שיעור: הרצאה</w:t>
      </w:r>
    </w:p>
    <w:p w:rsidR="006D239A" w:rsidRPr="00A86848" w:rsidRDefault="006D239A" w:rsidP="006D239A">
      <w:pPr>
        <w:bidi/>
        <w:jc w:val="both"/>
        <w:rPr>
          <w:sz w:val="24"/>
          <w:szCs w:val="24"/>
          <w:rtl/>
          <w:lang w:bidi="he-IL"/>
        </w:rPr>
      </w:pPr>
      <w:r w:rsidRPr="00A86848">
        <w:rPr>
          <w:sz w:val="24"/>
          <w:szCs w:val="24"/>
          <w:rtl/>
          <w:lang w:bidi="he-IL"/>
        </w:rPr>
        <w:t xml:space="preserve">מטרת </w:t>
      </w:r>
      <w:r w:rsidRPr="00A86848">
        <w:rPr>
          <w:rFonts w:hint="cs"/>
          <w:sz w:val="24"/>
          <w:szCs w:val="24"/>
          <w:rtl/>
          <w:lang w:bidi="he-IL"/>
        </w:rPr>
        <w:t>הקורס</w:t>
      </w:r>
    </w:p>
    <w:p w:rsidR="006D239A" w:rsidRPr="00A86848" w:rsidRDefault="00783E17" w:rsidP="006D239A">
      <w:pPr>
        <w:bidi/>
        <w:jc w:val="both"/>
        <w:rPr>
          <w:sz w:val="24"/>
          <w:szCs w:val="24"/>
          <w:rtl/>
          <w:lang w:bidi="he-IL"/>
        </w:rPr>
      </w:pPr>
      <w:r w:rsidRPr="00A86848">
        <w:rPr>
          <w:rFonts w:hint="cs"/>
          <w:sz w:val="24"/>
          <w:szCs w:val="24"/>
          <w:rtl/>
          <w:lang w:bidi="he-IL"/>
        </w:rPr>
        <w:t>קורס זה מכוון להציג בפני התלמידים אירוע יוצא דופן בהיסטוריה של ימי הביניים: מסע הצלב הראשון. בעקבות נאום של האפיפיור אורבן השני בנובמבר 1095 התקבצו עשרות אלפי גברים, נשים ו</w:t>
      </w:r>
      <w:r w:rsidR="00755FDF" w:rsidRPr="00A86848">
        <w:rPr>
          <w:rFonts w:hint="cs"/>
          <w:sz w:val="24"/>
          <w:szCs w:val="24"/>
          <w:rtl/>
          <w:lang w:bidi="he-IL"/>
        </w:rPr>
        <w:t>טף והחלו לצעוד מזרחה במטרה</w:t>
      </w:r>
      <w:r w:rsidRPr="00A86848">
        <w:rPr>
          <w:rFonts w:hint="cs"/>
          <w:sz w:val="24"/>
          <w:szCs w:val="24"/>
          <w:rtl/>
          <w:lang w:bidi="he-IL"/>
        </w:rPr>
        <w:t xml:space="preserve"> להגיע לירושלים ולהחזירה לחיק הנצרות. לאחר שלוש שנות מסע הגיע המחנה הקנאי והמותש לירושלים, הצליח לגבור על מגיניה הפאטימים וכבשה תוך טבח בתושביה המוסלמים והיהודים. מסע מסוג זה מעלה שאלות רבות</w:t>
      </w:r>
      <w:r w:rsidR="00755FDF" w:rsidRPr="00A86848">
        <w:rPr>
          <w:rFonts w:hint="cs"/>
          <w:sz w:val="24"/>
          <w:szCs w:val="24"/>
          <w:rtl/>
          <w:lang w:bidi="he-IL"/>
        </w:rPr>
        <w:t xml:space="preserve">, ובהן: </w:t>
      </w:r>
      <w:r w:rsidRPr="00A86848">
        <w:rPr>
          <w:rFonts w:hint="cs"/>
          <w:sz w:val="24"/>
          <w:szCs w:val="24"/>
          <w:rtl/>
          <w:lang w:bidi="he-IL"/>
        </w:rPr>
        <w:t xml:space="preserve">מדוע זכתה קריאתו של האפיפיור להיענות גדולה כל כך? מה היו האירועים המרכזיים בשלוש השנים שחלפו מאז עזבו היוצאים את בתיהם ועד שמי ששרדו מביניהם הגיעו לירושלים? כיצד התמודד המחנה עם הקשיים הלוגיסטיים שנקרו בדרכו? </w:t>
      </w:r>
      <w:r w:rsidR="004E66C9" w:rsidRPr="00A86848">
        <w:rPr>
          <w:rFonts w:hint="cs"/>
          <w:sz w:val="24"/>
          <w:szCs w:val="24"/>
          <w:rtl/>
          <w:lang w:bidi="he-IL"/>
        </w:rPr>
        <w:t xml:space="preserve">מה היו מערכות היחסים בין חלקיו </w:t>
      </w:r>
      <w:r w:rsidR="00755FDF" w:rsidRPr="00A86848">
        <w:rPr>
          <w:rFonts w:hint="cs"/>
          <w:sz w:val="24"/>
          <w:szCs w:val="24"/>
          <w:rtl/>
          <w:lang w:bidi="he-IL"/>
        </w:rPr>
        <w:t xml:space="preserve">השונים </w:t>
      </w:r>
      <w:r w:rsidR="00755FDF" w:rsidRPr="00A86848">
        <w:rPr>
          <w:sz w:val="24"/>
          <w:szCs w:val="24"/>
          <w:rtl/>
          <w:lang w:bidi="he-IL"/>
        </w:rPr>
        <w:t>–</w:t>
      </w:r>
      <w:r w:rsidR="00755FDF" w:rsidRPr="00A86848">
        <w:rPr>
          <w:rFonts w:hint="cs"/>
          <w:sz w:val="24"/>
          <w:szCs w:val="24"/>
          <w:rtl/>
          <w:lang w:bidi="he-IL"/>
        </w:rPr>
        <w:t xml:space="preserve"> מבחינה מעמדית ותרבותית --</w:t>
      </w:r>
      <w:r w:rsidR="004E66C9" w:rsidRPr="00A86848">
        <w:rPr>
          <w:rFonts w:hint="cs"/>
          <w:sz w:val="24"/>
          <w:szCs w:val="24"/>
          <w:rtl/>
          <w:lang w:bidi="he-IL"/>
        </w:rPr>
        <w:t xml:space="preserve"> של המחנה? אילו כוחות לא לטיניים פגש המחנה בדרכו וכיצד התייחס אליהם? מה איפיין את הלחימה לאורכו של המסע? בקורס נת</w:t>
      </w:r>
      <w:r w:rsidR="00755FDF" w:rsidRPr="00A86848">
        <w:rPr>
          <w:rFonts w:hint="cs"/>
          <w:sz w:val="24"/>
          <w:szCs w:val="24"/>
          <w:rtl/>
          <w:lang w:bidi="he-IL"/>
        </w:rPr>
        <w:t>מודד עם שאלות אלה ואחרות,</w:t>
      </w:r>
      <w:r w:rsidR="004E66C9" w:rsidRPr="00A86848">
        <w:rPr>
          <w:rFonts w:hint="cs"/>
          <w:sz w:val="24"/>
          <w:szCs w:val="24"/>
          <w:rtl/>
          <w:lang w:bidi="he-IL"/>
        </w:rPr>
        <w:t xml:space="preserve"> תוך שימוש במקורות שחיברו משתתפיו כמו גם עדי ראיה אחרים.</w:t>
      </w:r>
      <w:r w:rsidR="00D22306" w:rsidRPr="00A86848">
        <w:rPr>
          <w:rFonts w:hint="cs"/>
          <w:sz w:val="24"/>
          <w:szCs w:val="24"/>
          <w:rtl/>
          <w:lang w:bidi="he-IL"/>
        </w:rPr>
        <w:t xml:space="preserve"> בסופו של הקורס התלמידים יכירו היטב את תולדות המסע ואת המקורות המרכזיים שהגיעו אלינו אודותיו. כמו כן, הם יכירו היבטים שונים במנטליות של אנשי ימי הביניים.</w:t>
      </w:r>
    </w:p>
    <w:p w:rsidR="00783E17" w:rsidRPr="00A86848" w:rsidRDefault="00783E17" w:rsidP="00783E17">
      <w:pPr>
        <w:bidi/>
        <w:jc w:val="both"/>
        <w:rPr>
          <w:sz w:val="24"/>
          <w:szCs w:val="24"/>
          <w:rtl/>
          <w:lang w:bidi="he-IL"/>
        </w:rPr>
      </w:pPr>
    </w:p>
    <w:p w:rsidR="006D239A" w:rsidRPr="00A86848" w:rsidRDefault="006D239A" w:rsidP="006D239A">
      <w:pPr>
        <w:bidi/>
        <w:jc w:val="both"/>
        <w:rPr>
          <w:sz w:val="24"/>
          <w:szCs w:val="24"/>
          <w:rtl/>
          <w:lang w:bidi="he-IL"/>
        </w:rPr>
      </w:pPr>
      <w:r w:rsidRPr="00A86848">
        <w:rPr>
          <w:sz w:val="24"/>
          <w:szCs w:val="24"/>
          <w:rtl/>
          <w:lang w:bidi="he-IL"/>
        </w:rPr>
        <w:t>רציונל</w:t>
      </w:r>
    </w:p>
    <w:p w:rsidR="006D239A" w:rsidRPr="00A86848" w:rsidRDefault="00F35236" w:rsidP="006D239A">
      <w:pPr>
        <w:bidi/>
        <w:jc w:val="both"/>
        <w:rPr>
          <w:sz w:val="24"/>
          <w:szCs w:val="24"/>
          <w:rtl/>
          <w:lang w:bidi="he-IL"/>
        </w:rPr>
      </w:pPr>
      <w:r w:rsidRPr="00A86848">
        <w:rPr>
          <w:rFonts w:hint="cs"/>
          <w:sz w:val="24"/>
          <w:szCs w:val="24"/>
          <w:rtl/>
          <w:lang w:bidi="he-IL"/>
        </w:rPr>
        <w:t xml:space="preserve">מסע הצלב הראשון הוא אירוע יוצא דופן בחשיבותו בהיסטוריה של ימי הביניים ובהיסטוריה של אגן הים התיכון בכלל, ובמידה מסוימת הדיו נשמעים עד היום. למאורע זה הייתה ועודנה גם חשיבות רבה מאוד בהקשר של ההיסטוריה היהודית מצד אחד וההיסטוריה של ארץ ישראל מצד שני. יתר על כן, מאחר שזה היה אירוע כל כך משמעותי הגיעו אלינו מקורות רבים יחסית אודותיו. אשר על כן, נושא זה מזמן הזדמנות גם לעסוק בתופעה מרתקת וחשובה וגם 'לצפות' בה מקרוב, דרך עיניהם של </w:t>
      </w:r>
      <w:r w:rsidR="00755FDF" w:rsidRPr="00A86848">
        <w:rPr>
          <w:rFonts w:hint="cs"/>
          <w:sz w:val="24"/>
          <w:szCs w:val="24"/>
          <w:rtl/>
          <w:lang w:bidi="he-IL"/>
        </w:rPr>
        <w:t>בני הזמן</w:t>
      </w:r>
      <w:r w:rsidRPr="00A86848">
        <w:rPr>
          <w:rFonts w:hint="cs"/>
          <w:sz w:val="24"/>
          <w:szCs w:val="24"/>
          <w:rtl/>
          <w:lang w:bidi="he-IL"/>
        </w:rPr>
        <w:t xml:space="preserve">. באופן זה נוכל ללמוד לא רק על האירועים הדרמטיים הכרוכים במסע הצלב הראשון אלא גם אודות האנשים שהשאירו לנו את רשמיהם </w:t>
      </w:r>
      <w:r w:rsidR="00755FDF" w:rsidRPr="00A86848">
        <w:rPr>
          <w:rFonts w:hint="cs"/>
          <w:sz w:val="24"/>
          <w:szCs w:val="24"/>
          <w:rtl/>
          <w:lang w:bidi="he-IL"/>
        </w:rPr>
        <w:t>ו</w:t>
      </w:r>
      <w:r w:rsidRPr="00A86848">
        <w:rPr>
          <w:rFonts w:hint="cs"/>
          <w:sz w:val="24"/>
          <w:szCs w:val="24"/>
          <w:rtl/>
          <w:lang w:bidi="he-IL"/>
        </w:rPr>
        <w:t>שחיו בעולם שונה כל כך מזה שאנו מכירים.</w:t>
      </w:r>
    </w:p>
    <w:p w:rsidR="00EA1BF3" w:rsidRPr="00A86848" w:rsidRDefault="00EA1BF3" w:rsidP="00EA1BF3">
      <w:pPr>
        <w:bidi/>
        <w:jc w:val="both"/>
        <w:rPr>
          <w:sz w:val="24"/>
          <w:szCs w:val="24"/>
          <w:rtl/>
          <w:lang w:bidi="he-IL"/>
        </w:rPr>
      </w:pPr>
    </w:p>
    <w:p w:rsidR="006D239A" w:rsidRPr="00A86848" w:rsidRDefault="00783E17" w:rsidP="006D239A">
      <w:pPr>
        <w:bidi/>
        <w:jc w:val="both"/>
        <w:rPr>
          <w:sz w:val="24"/>
          <w:szCs w:val="24"/>
          <w:u w:val="single"/>
          <w:rtl/>
          <w:lang w:bidi="he-IL"/>
        </w:rPr>
      </w:pPr>
      <w:r w:rsidRPr="00A86848">
        <w:rPr>
          <w:rFonts w:hint="cs"/>
          <w:sz w:val="24"/>
          <w:szCs w:val="24"/>
          <w:u w:val="single"/>
          <w:rtl/>
          <w:lang w:bidi="he-IL"/>
        </w:rPr>
        <w:t>רשימת נושאים וחומרים לקריאה ולדיון</w:t>
      </w:r>
      <w:r w:rsidR="00755FDF" w:rsidRPr="00A86848">
        <w:rPr>
          <w:rStyle w:val="a6"/>
          <w:sz w:val="24"/>
          <w:szCs w:val="24"/>
          <w:u w:val="single"/>
          <w:rtl/>
          <w:lang w:bidi="he-IL"/>
        </w:rPr>
        <w:footnoteReference w:id="1"/>
      </w:r>
    </w:p>
    <w:p w:rsidR="00F35236" w:rsidRPr="00A86848" w:rsidRDefault="00F35236" w:rsidP="00755FDF">
      <w:pPr>
        <w:pStyle w:val="a3"/>
        <w:numPr>
          <w:ilvl w:val="0"/>
          <w:numId w:val="1"/>
        </w:numPr>
        <w:bidi/>
        <w:jc w:val="both"/>
        <w:rPr>
          <w:sz w:val="24"/>
          <w:szCs w:val="24"/>
          <w:rtl/>
          <w:lang w:bidi="he-IL"/>
        </w:rPr>
      </w:pPr>
      <w:r w:rsidRPr="00A86848">
        <w:rPr>
          <w:rFonts w:hint="cs"/>
          <w:sz w:val="24"/>
          <w:szCs w:val="24"/>
          <w:rtl/>
          <w:lang w:bidi="he-IL"/>
        </w:rPr>
        <w:t>רקע:</w:t>
      </w:r>
    </w:p>
    <w:p w:rsidR="00F35236" w:rsidRPr="00A86848" w:rsidRDefault="00F35236" w:rsidP="00F35236">
      <w:pPr>
        <w:bidi/>
        <w:jc w:val="both"/>
        <w:rPr>
          <w:sz w:val="24"/>
          <w:szCs w:val="24"/>
          <w:rtl/>
          <w:lang w:bidi="he-IL"/>
        </w:rPr>
      </w:pPr>
      <w:r w:rsidRPr="00A86848">
        <w:rPr>
          <w:sz w:val="24"/>
          <w:szCs w:val="24"/>
          <w:rtl/>
          <w:lang w:bidi="he-IL"/>
        </w:rPr>
        <w:t xml:space="preserve">אירופה </w:t>
      </w:r>
      <w:r w:rsidRPr="00A86848">
        <w:rPr>
          <w:rFonts w:hint="cs"/>
          <w:sz w:val="24"/>
          <w:szCs w:val="24"/>
          <w:rtl/>
          <w:lang w:bidi="he-IL"/>
        </w:rPr>
        <w:t>ואגן הים התיכון המזרחי במאה האחת-עשרה</w:t>
      </w:r>
      <w:r w:rsidR="00755FDF" w:rsidRPr="00A86848">
        <w:rPr>
          <w:rFonts w:hint="cs"/>
          <w:sz w:val="24"/>
          <w:szCs w:val="24"/>
          <w:rtl/>
          <w:lang w:bidi="he-IL"/>
        </w:rPr>
        <w:t>.</w:t>
      </w:r>
    </w:p>
    <w:p w:rsidR="00755FDF" w:rsidRPr="00A86848" w:rsidRDefault="00755FDF" w:rsidP="00755FDF">
      <w:pPr>
        <w:bidi/>
        <w:jc w:val="both"/>
        <w:rPr>
          <w:sz w:val="24"/>
          <w:szCs w:val="24"/>
          <w:rtl/>
          <w:lang w:bidi="he-IL"/>
        </w:rPr>
      </w:pPr>
      <w:r w:rsidRPr="00A86848">
        <w:rPr>
          <w:rFonts w:hint="cs"/>
          <w:sz w:val="24"/>
          <w:szCs w:val="24"/>
          <w:rtl/>
          <w:lang w:bidi="he-IL"/>
        </w:rPr>
        <w:t xml:space="preserve">קריאה: </w:t>
      </w:r>
      <w:r w:rsidRPr="00A86848">
        <w:rPr>
          <w:sz w:val="24"/>
          <w:szCs w:val="24"/>
          <w:rtl/>
          <w:lang w:bidi="he-IL"/>
        </w:rPr>
        <w:t xml:space="preserve">איריס שגריר, </w:t>
      </w:r>
      <w:r w:rsidRPr="00A86848">
        <w:rPr>
          <w:sz w:val="24"/>
          <w:szCs w:val="24"/>
          <w:u w:val="single"/>
          <w:rtl/>
          <w:lang w:bidi="he-IL"/>
        </w:rPr>
        <w:t>מסעי הצלב: היסטוריה והיסטוריוגרפיה</w:t>
      </w:r>
      <w:r w:rsidRPr="00A86848">
        <w:rPr>
          <w:sz w:val="24"/>
          <w:szCs w:val="24"/>
          <w:rtl/>
          <w:lang w:bidi="he-IL"/>
        </w:rPr>
        <w:t xml:space="preserve"> (רעננה, 2014), עמ' 57-23.</w:t>
      </w:r>
    </w:p>
    <w:p w:rsidR="00F35236" w:rsidRPr="00A86848" w:rsidRDefault="00F35236" w:rsidP="00F35236">
      <w:pPr>
        <w:bidi/>
        <w:jc w:val="both"/>
        <w:rPr>
          <w:sz w:val="24"/>
          <w:szCs w:val="24"/>
          <w:rtl/>
          <w:lang w:bidi="he-IL"/>
        </w:rPr>
      </w:pPr>
    </w:p>
    <w:p w:rsidR="00F35236" w:rsidRPr="00A86848" w:rsidRDefault="00F35236" w:rsidP="00755FDF">
      <w:pPr>
        <w:pStyle w:val="a3"/>
        <w:numPr>
          <w:ilvl w:val="0"/>
          <w:numId w:val="1"/>
        </w:numPr>
        <w:bidi/>
        <w:jc w:val="both"/>
        <w:rPr>
          <w:sz w:val="24"/>
          <w:szCs w:val="24"/>
          <w:rtl/>
          <w:lang w:bidi="he-IL"/>
        </w:rPr>
      </w:pPr>
      <w:r w:rsidRPr="00A86848">
        <w:rPr>
          <w:sz w:val="24"/>
          <w:szCs w:val="24"/>
          <w:rtl/>
          <w:lang w:bidi="he-IL"/>
        </w:rPr>
        <w:t>נאו</w:t>
      </w:r>
      <w:r w:rsidRPr="00A86848">
        <w:rPr>
          <w:rFonts w:hint="cs"/>
          <w:sz w:val="24"/>
          <w:szCs w:val="24"/>
          <w:rtl/>
          <w:lang w:bidi="he-IL"/>
        </w:rPr>
        <w:t>מו של אורבאן השני</w:t>
      </w:r>
    </w:p>
    <w:p w:rsidR="00F35236" w:rsidRPr="00A86848" w:rsidRDefault="00D22306" w:rsidP="00F35236">
      <w:pPr>
        <w:bidi/>
        <w:jc w:val="both"/>
        <w:rPr>
          <w:sz w:val="24"/>
          <w:szCs w:val="24"/>
          <w:lang w:val="en-GB" w:bidi="he-IL"/>
        </w:rPr>
      </w:pPr>
      <w:r w:rsidRPr="00A86848">
        <w:rPr>
          <w:rFonts w:hint="cs"/>
          <w:sz w:val="24"/>
          <w:szCs w:val="24"/>
          <w:rtl/>
          <w:lang w:bidi="he-IL"/>
        </w:rPr>
        <w:lastRenderedPageBreak/>
        <w:t xml:space="preserve">קריאה: </w:t>
      </w:r>
      <w:r w:rsidR="00897DF0" w:rsidRPr="00A86848">
        <w:rPr>
          <w:rFonts w:hint="cs"/>
          <w:sz w:val="24"/>
          <w:szCs w:val="24"/>
          <w:rtl/>
          <w:lang w:bidi="he-IL"/>
        </w:rPr>
        <w:t xml:space="preserve">גרסתו של </w:t>
      </w:r>
      <w:proofErr w:type="spellStart"/>
      <w:r w:rsidR="00897DF0" w:rsidRPr="00A86848">
        <w:rPr>
          <w:rFonts w:hint="cs"/>
          <w:sz w:val="24"/>
          <w:szCs w:val="24"/>
          <w:rtl/>
          <w:lang w:bidi="he-IL"/>
        </w:rPr>
        <w:t>פולחר</w:t>
      </w:r>
      <w:proofErr w:type="spellEnd"/>
      <w:r w:rsidR="00897DF0" w:rsidRPr="00A86848">
        <w:rPr>
          <w:rFonts w:hint="cs"/>
          <w:sz w:val="24"/>
          <w:szCs w:val="24"/>
          <w:rtl/>
          <w:lang w:bidi="he-IL"/>
        </w:rPr>
        <w:t xml:space="preserve"> </w:t>
      </w:r>
      <w:proofErr w:type="spellStart"/>
      <w:r w:rsidR="00897DF0" w:rsidRPr="00A86848">
        <w:rPr>
          <w:rFonts w:hint="cs"/>
          <w:sz w:val="24"/>
          <w:szCs w:val="24"/>
          <w:rtl/>
          <w:lang w:bidi="he-IL"/>
        </w:rPr>
        <w:t>משרטר</w:t>
      </w:r>
      <w:proofErr w:type="spellEnd"/>
      <w:r w:rsidR="00897DF0" w:rsidRPr="00A86848">
        <w:rPr>
          <w:rFonts w:hint="cs"/>
          <w:sz w:val="24"/>
          <w:szCs w:val="24"/>
          <w:rtl/>
          <w:lang w:bidi="he-IL"/>
        </w:rPr>
        <w:t xml:space="preserve">, </w:t>
      </w:r>
      <w:r w:rsidR="00755FDF" w:rsidRPr="00A86848">
        <w:rPr>
          <w:rFonts w:hint="cs"/>
          <w:sz w:val="24"/>
          <w:szCs w:val="24"/>
          <w:rtl/>
          <w:lang w:bidi="he-IL"/>
        </w:rPr>
        <w:t>ו</w:t>
      </w:r>
      <w:r w:rsidR="00897DF0" w:rsidRPr="00A86848">
        <w:rPr>
          <w:rFonts w:hint="cs"/>
          <w:sz w:val="24"/>
          <w:szCs w:val="24"/>
          <w:rtl/>
          <w:lang w:bidi="he-IL"/>
        </w:rPr>
        <w:t>קטע מהכרוניקה של פולק רשה (</w:t>
      </w:r>
      <w:proofErr w:type="spellStart"/>
      <w:r w:rsidR="00897DF0" w:rsidRPr="00A86848">
        <w:rPr>
          <w:sz w:val="24"/>
          <w:szCs w:val="24"/>
          <w:lang w:val="en-GB" w:bidi="he-IL"/>
        </w:rPr>
        <w:t>Fulk</w:t>
      </w:r>
      <w:proofErr w:type="spellEnd"/>
      <w:r w:rsidR="00897DF0" w:rsidRPr="00A86848">
        <w:rPr>
          <w:sz w:val="24"/>
          <w:szCs w:val="24"/>
          <w:lang w:val="en-GB" w:bidi="he-IL"/>
        </w:rPr>
        <w:t xml:space="preserve"> </w:t>
      </w:r>
      <w:proofErr w:type="spellStart"/>
      <w:r w:rsidR="00897DF0" w:rsidRPr="00A86848">
        <w:rPr>
          <w:sz w:val="24"/>
          <w:szCs w:val="24"/>
          <w:lang w:val="en-GB" w:bidi="he-IL"/>
        </w:rPr>
        <w:t>Rechin</w:t>
      </w:r>
      <w:proofErr w:type="spellEnd"/>
      <w:r w:rsidR="00897DF0" w:rsidRPr="00A86848">
        <w:rPr>
          <w:rFonts w:hint="cs"/>
          <w:sz w:val="24"/>
          <w:szCs w:val="24"/>
          <w:rtl/>
          <w:lang w:bidi="he-IL"/>
        </w:rPr>
        <w:t>).</w:t>
      </w:r>
    </w:p>
    <w:p w:rsidR="00D22306" w:rsidRPr="00A86848" w:rsidRDefault="00D22306" w:rsidP="00D22306">
      <w:pPr>
        <w:bidi/>
        <w:jc w:val="both"/>
        <w:rPr>
          <w:sz w:val="24"/>
          <w:szCs w:val="24"/>
          <w:rtl/>
          <w:lang w:bidi="he-IL"/>
        </w:rPr>
      </w:pPr>
    </w:p>
    <w:p w:rsidR="00F35236" w:rsidRPr="00A86848" w:rsidRDefault="00F35236" w:rsidP="00755FDF">
      <w:pPr>
        <w:pStyle w:val="a3"/>
        <w:numPr>
          <w:ilvl w:val="0"/>
          <w:numId w:val="1"/>
        </w:numPr>
        <w:bidi/>
        <w:jc w:val="both"/>
        <w:rPr>
          <w:sz w:val="24"/>
          <w:szCs w:val="24"/>
          <w:rtl/>
          <w:lang w:bidi="he-IL"/>
        </w:rPr>
      </w:pPr>
      <w:r w:rsidRPr="00A86848">
        <w:rPr>
          <w:rFonts w:hint="cs"/>
          <w:sz w:val="24"/>
          <w:szCs w:val="24"/>
          <w:rtl/>
          <w:lang w:bidi="he-IL"/>
        </w:rPr>
        <w:t>פרעות תתנ"ו</w:t>
      </w:r>
    </w:p>
    <w:p w:rsidR="00F35236" w:rsidRPr="00A86848" w:rsidRDefault="00F35236" w:rsidP="00F35236">
      <w:pPr>
        <w:bidi/>
        <w:jc w:val="both"/>
        <w:rPr>
          <w:sz w:val="24"/>
          <w:szCs w:val="24"/>
          <w:rtl/>
          <w:lang w:bidi="he-IL"/>
        </w:rPr>
      </w:pPr>
      <w:r w:rsidRPr="00A86848">
        <w:rPr>
          <w:rFonts w:hint="cs"/>
          <w:sz w:val="24"/>
          <w:szCs w:val="24"/>
          <w:rtl/>
          <w:lang w:bidi="he-IL"/>
        </w:rPr>
        <w:t>קריאה: קטעים מתוך הכרוניקות העבריות ומתוך חיבורו של אלברט מאאכן</w:t>
      </w:r>
    </w:p>
    <w:p w:rsidR="00F35236" w:rsidRPr="00A86848" w:rsidRDefault="00F35236" w:rsidP="00F35236">
      <w:pPr>
        <w:bidi/>
        <w:jc w:val="both"/>
        <w:rPr>
          <w:sz w:val="24"/>
          <w:szCs w:val="24"/>
          <w:rtl/>
          <w:lang w:bidi="he-IL"/>
        </w:rPr>
      </w:pPr>
    </w:p>
    <w:p w:rsidR="00D22306" w:rsidRPr="00A86848" w:rsidRDefault="00D22306" w:rsidP="003C417D">
      <w:pPr>
        <w:pStyle w:val="a3"/>
        <w:numPr>
          <w:ilvl w:val="0"/>
          <w:numId w:val="1"/>
        </w:numPr>
        <w:bidi/>
        <w:jc w:val="both"/>
        <w:rPr>
          <w:sz w:val="24"/>
          <w:szCs w:val="24"/>
          <w:rtl/>
          <w:lang w:bidi="he-IL"/>
        </w:rPr>
      </w:pPr>
      <w:r w:rsidRPr="00A86848">
        <w:rPr>
          <w:sz w:val="24"/>
          <w:szCs w:val="24"/>
          <w:rtl/>
          <w:lang w:bidi="he-IL"/>
        </w:rPr>
        <w:t xml:space="preserve">הצלבנים </w:t>
      </w:r>
      <w:r w:rsidRPr="00A86848">
        <w:rPr>
          <w:rFonts w:hint="cs"/>
          <w:sz w:val="24"/>
          <w:szCs w:val="24"/>
          <w:rtl/>
          <w:lang w:bidi="he-IL"/>
        </w:rPr>
        <w:t>וביזנטיון</w:t>
      </w:r>
    </w:p>
    <w:p w:rsidR="00D22306" w:rsidRPr="00A86848" w:rsidRDefault="00D22306" w:rsidP="00D22306">
      <w:pPr>
        <w:bidi/>
        <w:jc w:val="both"/>
        <w:rPr>
          <w:sz w:val="24"/>
          <w:szCs w:val="24"/>
          <w:lang w:val="en-GB" w:bidi="he-IL"/>
        </w:rPr>
      </w:pPr>
      <w:r w:rsidRPr="00A86848">
        <w:rPr>
          <w:sz w:val="24"/>
          <w:szCs w:val="24"/>
          <w:rtl/>
          <w:lang w:bidi="he-IL"/>
        </w:rPr>
        <w:t>קריאה</w:t>
      </w:r>
      <w:r w:rsidR="00A53390" w:rsidRPr="00A86848">
        <w:rPr>
          <w:rFonts w:hint="cs"/>
          <w:sz w:val="24"/>
          <w:szCs w:val="24"/>
          <w:rtl/>
          <w:lang w:bidi="he-IL"/>
        </w:rPr>
        <w:t>: קטעים מתוך האלכסיאד מאת אנה קומננה</w:t>
      </w:r>
      <w:r w:rsidR="00897DF0" w:rsidRPr="00A86848">
        <w:rPr>
          <w:rFonts w:hint="cs"/>
          <w:sz w:val="24"/>
          <w:szCs w:val="24"/>
          <w:rtl/>
          <w:lang w:bidi="he-IL"/>
        </w:rPr>
        <w:t xml:space="preserve"> ומתוך הכרוניקה האנונימית</w:t>
      </w:r>
      <w:r w:rsidR="00A53390" w:rsidRPr="00A86848">
        <w:rPr>
          <w:rFonts w:hint="cs"/>
          <w:sz w:val="24"/>
          <w:szCs w:val="24"/>
          <w:rtl/>
          <w:lang w:bidi="he-IL"/>
        </w:rPr>
        <w:t xml:space="preserve">, </w:t>
      </w:r>
      <w:r w:rsidR="00897DF0" w:rsidRPr="00A86848">
        <w:rPr>
          <w:rFonts w:hint="cs"/>
          <w:sz w:val="24"/>
          <w:szCs w:val="24"/>
          <w:rtl/>
          <w:lang w:bidi="he-IL"/>
        </w:rPr>
        <w:t>מכתבו הראשון של אטיין לאדלה.</w:t>
      </w:r>
    </w:p>
    <w:p w:rsidR="00D22306" w:rsidRPr="00A86848" w:rsidRDefault="00D22306" w:rsidP="00D22306">
      <w:pPr>
        <w:bidi/>
        <w:jc w:val="both"/>
        <w:rPr>
          <w:sz w:val="24"/>
          <w:szCs w:val="24"/>
          <w:rtl/>
          <w:lang w:bidi="he-IL"/>
        </w:rPr>
      </w:pPr>
    </w:p>
    <w:p w:rsidR="00D22306" w:rsidRPr="00A86848" w:rsidRDefault="00D22306" w:rsidP="003C417D">
      <w:pPr>
        <w:pStyle w:val="a3"/>
        <w:numPr>
          <w:ilvl w:val="0"/>
          <w:numId w:val="1"/>
        </w:numPr>
        <w:bidi/>
        <w:jc w:val="both"/>
        <w:rPr>
          <w:sz w:val="24"/>
          <w:szCs w:val="24"/>
          <w:rtl/>
          <w:lang w:bidi="he-IL"/>
        </w:rPr>
      </w:pPr>
      <w:r w:rsidRPr="00A86848">
        <w:rPr>
          <w:sz w:val="24"/>
          <w:szCs w:val="24"/>
          <w:rtl/>
          <w:lang w:bidi="he-IL"/>
        </w:rPr>
        <w:t xml:space="preserve">מסע </w:t>
      </w:r>
      <w:r w:rsidRPr="00A86848">
        <w:rPr>
          <w:rFonts w:hint="cs"/>
          <w:sz w:val="24"/>
          <w:szCs w:val="24"/>
          <w:rtl/>
          <w:lang w:bidi="he-IL"/>
        </w:rPr>
        <w:t>הצלב הראשון באנטיוכה</w:t>
      </w:r>
    </w:p>
    <w:p w:rsidR="00D22306" w:rsidRPr="00A86848" w:rsidRDefault="00D22306" w:rsidP="00D22306">
      <w:pPr>
        <w:bidi/>
        <w:jc w:val="both"/>
        <w:rPr>
          <w:sz w:val="24"/>
          <w:szCs w:val="24"/>
          <w:rtl/>
          <w:lang w:bidi="he-IL"/>
        </w:rPr>
      </w:pPr>
      <w:r w:rsidRPr="00A86848">
        <w:rPr>
          <w:sz w:val="24"/>
          <w:szCs w:val="24"/>
          <w:rtl/>
          <w:lang w:bidi="he-IL"/>
        </w:rPr>
        <w:t>קריאה</w:t>
      </w:r>
      <w:r w:rsidRPr="00A86848">
        <w:rPr>
          <w:rFonts w:hint="cs"/>
          <w:sz w:val="24"/>
          <w:szCs w:val="24"/>
          <w:rtl/>
          <w:lang w:bidi="he-IL"/>
        </w:rPr>
        <w:t>: מכתבו השני של אטיין לאדלה וקטעים מהכרוניקה האנונימית ומזו של אלברט מאאכן.</w:t>
      </w:r>
    </w:p>
    <w:p w:rsidR="00F35236" w:rsidRPr="00A86848" w:rsidRDefault="00F35236" w:rsidP="00F35236">
      <w:pPr>
        <w:bidi/>
        <w:jc w:val="both"/>
        <w:rPr>
          <w:sz w:val="24"/>
          <w:szCs w:val="24"/>
          <w:rtl/>
          <w:lang w:bidi="he-IL"/>
        </w:rPr>
      </w:pPr>
    </w:p>
    <w:p w:rsidR="00F35236" w:rsidRPr="00A86848" w:rsidRDefault="00F35236" w:rsidP="003F4B5B">
      <w:pPr>
        <w:pStyle w:val="a3"/>
        <w:numPr>
          <w:ilvl w:val="0"/>
          <w:numId w:val="1"/>
        </w:numPr>
        <w:bidi/>
        <w:jc w:val="both"/>
        <w:rPr>
          <w:sz w:val="24"/>
          <w:szCs w:val="24"/>
          <w:rtl/>
          <w:lang w:bidi="he-IL"/>
        </w:rPr>
      </w:pPr>
      <w:r w:rsidRPr="00A86848">
        <w:rPr>
          <w:sz w:val="24"/>
          <w:szCs w:val="24"/>
          <w:rtl/>
          <w:lang w:bidi="he-IL"/>
        </w:rPr>
        <w:t xml:space="preserve">המצור </w:t>
      </w:r>
      <w:r w:rsidRPr="00A86848">
        <w:rPr>
          <w:rFonts w:hint="cs"/>
          <w:sz w:val="24"/>
          <w:szCs w:val="24"/>
          <w:rtl/>
          <w:lang w:bidi="he-IL"/>
        </w:rPr>
        <w:t>על ירושלים וכיבושה</w:t>
      </w:r>
    </w:p>
    <w:p w:rsidR="00F35236" w:rsidRPr="00A86848" w:rsidRDefault="00F35236" w:rsidP="00F35236">
      <w:pPr>
        <w:bidi/>
        <w:jc w:val="both"/>
        <w:rPr>
          <w:sz w:val="24"/>
          <w:szCs w:val="24"/>
          <w:rtl/>
          <w:lang w:bidi="he-IL"/>
        </w:rPr>
      </w:pPr>
      <w:r w:rsidRPr="00A86848">
        <w:rPr>
          <w:sz w:val="24"/>
          <w:szCs w:val="24"/>
          <w:rtl/>
          <w:lang w:bidi="he-IL"/>
        </w:rPr>
        <w:t>קריאה</w:t>
      </w:r>
      <w:r w:rsidRPr="00A86848">
        <w:rPr>
          <w:rFonts w:hint="cs"/>
          <w:sz w:val="24"/>
          <w:szCs w:val="24"/>
          <w:rtl/>
          <w:lang w:bidi="he-IL"/>
        </w:rPr>
        <w:t>: קטעים מתוך הכרוניקה האנונימית ומתוך הכרוניקה של ריימונד מאגילר</w:t>
      </w:r>
      <w:r w:rsidR="003F4B5B" w:rsidRPr="00A86848">
        <w:rPr>
          <w:rFonts w:hint="cs"/>
          <w:sz w:val="24"/>
          <w:szCs w:val="24"/>
          <w:rtl/>
          <w:lang w:bidi="he-IL"/>
        </w:rPr>
        <w:t>.</w:t>
      </w:r>
    </w:p>
    <w:p w:rsidR="00F35236" w:rsidRPr="00A86848" w:rsidRDefault="00F35236" w:rsidP="00F35236">
      <w:pPr>
        <w:bidi/>
        <w:jc w:val="both"/>
        <w:rPr>
          <w:sz w:val="24"/>
          <w:szCs w:val="24"/>
          <w:rtl/>
          <w:lang w:bidi="he-IL"/>
        </w:rPr>
      </w:pPr>
    </w:p>
    <w:p w:rsidR="00F35236" w:rsidRPr="00A86848" w:rsidRDefault="00F35236" w:rsidP="00F35236">
      <w:pPr>
        <w:bidi/>
        <w:jc w:val="both"/>
        <w:rPr>
          <w:sz w:val="24"/>
          <w:szCs w:val="24"/>
          <w:rtl/>
          <w:lang w:bidi="he-IL"/>
        </w:rPr>
      </w:pPr>
    </w:p>
    <w:p w:rsidR="00F35236" w:rsidRPr="00A86848" w:rsidRDefault="00F35236" w:rsidP="00F35236">
      <w:pPr>
        <w:bidi/>
        <w:jc w:val="both"/>
        <w:rPr>
          <w:sz w:val="24"/>
          <w:szCs w:val="24"/>
          <w:rtl/>
          <w:lang w:bidi="he-IL"/>
        </w:rPr>
      </w:pPr>
    </w:p>
    <w:p w:rsidR="00755FDF" w:rsidRPr="00A86848" w:rsidRDefault="00755FDF" w:rsidP="00755FDF">
      <w:pPr>
        <w:bidi/>
        <w:jc w:val="both"/>
        <w:rPr>
          <w:sz w:val="24"/>
          <w:szCs w:val="24"/>
          <w:rtl/>
          <w:lang w:bidi="he-IL"/>
        </w:rPr>
      </w:pPr>
      <w:r w:rsidRPr="00A86848">
        <w:rPr>
          <w:rFonts w:hint="cs"/>
          <w:sz w:val="24"/>
          <w:szCs w:val="24"/>
          <w:u w:val="single"/>
          <w:rtl/>
          <w:lang w:bidi="he-IL"/>
        </w:rPr>
        <w:t>רשימת מקורות</w:t>
      </w:r>
      <w:r w:rsidRPr="00A86848">
        <w:rPr>
          <w:rFonts w:hint="cs"/>
          <w:sz w:val="24"/>
          <w:szCs w:val="24"/>
          <w:rtl/>
          <w:lang w:bidi="he-IL"/>
        </w:rPr>
        <w:t>:</w:t>
      </w:r>
    </w:p>
    <w:p w:rsidR="003F4B5B" w:rsidRPr="00A86848" w:rsidRDefault="003F4B5B" w:rsidP="003F4B5B">
      <w:pPr>
        <w:bidi/>
        <w:jc w:val="both"/>
        <w:rPr>
          <w:sz w:val="24"/>
          <w:szCs w:val="24"/>
          <w:rtl/>
          <w:lang w:bidi="he-IL"/>
        </w:rPr>
      </w:pPr>
      <w:r w:rsidRPr="00A86848">
        <w:rPr>
          <w:rFonts w:hint="cs"/>
          <w:sz w:val="24"/>
          <w:szCs w:val="24"/>
          <w:rtl/>
          <w:lang w:bidi="he-IL"/>
        </w:rPr>
        <w:t>אלברט מאאכן:</w:t>
      </w:r>
    </w:p>
    <w:p w:rsidR="003F4B5B" w:rsidRPr="00A86848" w:rsidRDefault="003F4B5B" w:rsidP="003F4B5B">
      <w:pPr>
        <w:bidi/>
        <w:jc w:val="both"/>
        <w:rPr>
          <w:sz w:val="24"/>
          <w:szCs w:val="24"/>
          <w:rtl/>
          <w:lang w:bidi="he-IL"/>
        </w:rPr>
      </w:pPr>
      <w:r w:rsidRPr="00A86848">
        <w:rPr>
          <w:sz w:val="24"/>
          <w:szCs w:val="24"/>
          <w:lang w:val="en-GB" w:bidi="he-IL"/>
        </w:rPr>
        <w:t xml:space="preserve">Albert of Aachen, </w:t>
      </w:r>
      <w:proofErr w:type="spellStart"/>
      <w:r w:rsidRPr="00A86848">
        <w:rPr>
          <w:i/>
          <w:iCs/>
          <w:sz w:val="24"/>
          <w:szCs w:val="24"/>
          <w:lang w:val="en-GB" w:bidi="he-IL"/>
        </w:rPr>
        <w:t>Historia</w:t>
      </w:r>
      <w:proofErr w:type="spellEnd"/>
      <w:r w:rsidRPr="00A86848">
        <w:rPr>
          <w:i/>
          <w:iCs/>
          <w:sz w:val="24"/>
          <w:szCs w:val="24"/>
          <w:lang w:val="en-GB" w:bidi="he-IL"/>
        </w:rPr>
        <w:t xml:space="preserve"> </w:t>
      </w:r>
      <w:proofErr w:type="spellStart"/>
      <w:r w:rsidRPr="00A86848">
        <w:rPr>
          <w:i/>
          <w:iCs/>
          <w:sz w:val="24"/>
          <w:szCs w:val="24"/>
          <w:lang w:val="en-GB" w:bidi="he-IL"/>
        </w:rPr>
        <w:t>Ierosolimitana</w:t>
      </w:r>
      <w:proofErr w:type="spellEnd"/>
      <w:r w:rsidRPr="00A86848">
        <w:rPr>
          <w:sz w:val="24"/>
          <w:szCs w:val="24"/>
          <w:lang w:val="en-GB" w:bidi="he-IL"/>
        </w:rPr>
        <w:t xml:space="preserve">, </w:t>
      </w:r>
      <w:proofErr w:type="gramStart"/>
      <w:r w:rsidRPr="00A86848">
        <w:rPr>
          <w:sz w:val="24"/>
          <w:szCs w:val="24"/>
          <w:lang w:val="en-GB" w:bidi="he-IL"/>
        </w:rPr>
        <w:t>ed</w:t>
      </w:r>
      <w:proofErr w:type="gramEnd"/>
      <w:r w:rsidRPr="00A86848">
        <w:rPr>
          <w:sz w:val="24"/>
          <w:szCs w:val="24"/>
          <w:lang w:val="en-GB" w:bidi="he-IL"/>
        </w:rPr>
        <w:t>. And trans. S.B. Edgington (Oxford, 2007).</w:t>
      </w:r>
    </w:p>
    <w:p w:rsidR="003F4B5B" w:rsidRPr="00A86848" w:rsidRDefault="003F4B5B" w:rsidP="003F4B5B">
      <w:pPr>
        <w:bidi/>
        <w:jc w:val="both"/>
        <w:rPr>
          <w:sz w:val="24"/>
          <w:szCs w:val="24"/>
          <w:rtl/>
          <w:lang w:bidi="he-IL"/>
        </w:rPr>
      </w:pPr>
      <w:r w:rsidRPr="00A86848">
        <w:rPr>
          <w:sz w:val="24"/>
          <w:szCs w:val="24"/>
          <w:rtl/>
          <w:lang w:bidi="he-IL"/>
        </w:rPr>
        <w:t>האל</w:t>
      </w:r>
      <w:r w:rsidRPr="00A86848">
        <w:rPr>
          <w:rFonts w:hint="cs"/>
          <w:sz w:val="24"/>
          <w:szCs w:val="24"/>
          <w:rtl/>
          <w:lang w:bidi="he-IL"/>
        </w:rPr>
        <w:t>כ</w:t>
      </w:r>
      <w:r w:rsidRPr="00A86848">
        <w:rPr>
          <w:sz w:val="24"/>
          <w:szCs w:val="24"/>
          <w:rtl/>
          <w:lang w:bidi="he-IL"/>
        </w:rPr>
        <w:t>סיאד</w:t>
      </w:r>
      <w:r w:rsidRPr="00A86848">
        <w:rPr>
          <w:rFonts w:hint="cs"/>
          <w:sz w:val="24"/>
          <w:szCs w:val="24"/>
          <w:rtl/>
          <w:lang w:bidi="he-IL"/>
        </w:rPr>
        <w:t>:</w:t>
      </w:r>
    </w:p>
    <w:p w:rsidR="003F4B5B" w:rsidRPr="00A86848" w:rsidRDefault="003F4B5B" w:rsidP="003F4B5B">
      <w:pPr>
        <w:bidi/>
        <w:jc w:val="both"/>
        <w:rPr>
          <w:sz w:val="24"/>
          <w:szCs w:val="24"/>
          <w:lang w:bidi="he-IL"/>
        </w:rPr>
      </w:pPr>
      <w:r w:rsidRPr="00A86848">
        <w:rPr>
          <w:sz w:val="24"/>
          <w:szCs w:val="24"/>
          <w:lang w:bidi="he-IL"/>
        </w:rPr>
        <w:t xml:space="preserve">Anna </w:t>
      </w:r>
      <w:proofErr w:type="spellStart"/>
      <w:r w:rsidRPr="00A86848">
        <w:rPr>
          <w:sz w:val="24"/>
          <w:szCs w:val="24"/>
          <w:lang w:bidi="he-IL"/>
        </w:rPr>
        <w:t>Comnena</w:t>
      </w:r>
      <w:proofErr w:type="spellEnd"/>
      <w:r w:rsidRPr="00A86848">
        <w:rPr>
          <w:sz w:val="24"/>
          <w:szCs w:val="24"/>
          <w:lang w:bidi="he-IL"/>
        </w:rPr>
        <w:t>,</w:t>
      </w:r>
      <w:r w:rsidRPr="00A86848">
        <w:rPr>
          <w:i/>
          <w:iCs/>
          <w:sz w:val="24"/>
          <w:szCs w:val="24"/>
          <w:lang w:bidi="he-IL"/>
        </w:rPr>
        <w:t xml:space="preserve"> </w:t>
      </w:r>
      <w:proofErr w:type="gramStart"/>
      <w:r w:rsidRPr="00A86848">
        <w:rPr>
          <w:i/>
          <w:iCs/>
          <w:sz w:val="24"/>
          <w:szCs w:val="24"/>
          <w:lang w:bidi="he-IL"/>
        </w:rPr>
        <w:t>The</w:t>
      </w:r>
      <w:proofErr w:type="gramEnd"/>
      <w:r w:rsidRPr="00A86848">
        <w:rPr>
          <w:i/>
          <w:iCs/>
          <w:sz w:val="24"/>
          <w:szCs w:val="24"/>
          <w:lang w:bidi="he-IL"/>
        </w:rPr>
        <w:t xml:space="preserve"> </w:t>
      </w:r>
      <w:proofErr w:type="spellStart"/>
      <w:r w:rsidRPr="00A86848">
        <w:rPr>
          <w:i/>
          <w:iCs/>
          <w:sz w:val="24"/>
          <w:szCs w:val="24"/>
          <w:lang w:bidi="he-IL"/>
        </w:rPr>
        <w:t>Alexiad</w:t>
      </w:r>
      <w:proofErr w:type="spellEnd"/>
      <w:r w:rsidRPr="00A86848">
        <w:rPr>
          <w:sz w:val="24"/>
          <w:szCs w:val="24"/>
          <w:lang w:bidi="he-IL"/>
        </w:rPr>
        <w:t>, ed. and trans. E.A. Dawes (London, 1928).</w:t>
      </w:r>
    </w:p>
    <w:p w:rsidR="003F4B5B" w:rsidRPr="00A86848" w:rsidRDefault="003F4B5B" w:rsidP="003F4B5B">
      <w:pPr>
        <w:bidi/>
        <w:jc w:val="both"/>
        <w:rPr>
          <w:sz w:val="24"/>
          <w:szCs w:val="24"/>
          <w:rtl/>
          <w:lang w:bidi="he-IL"/>
        </w:rPr>
      </w:pPr>
      <w:r w:rsidRPr="00A86848">
        <w:rPr>
          <w:sz w:val="24"/>
          <w:szCs w:val="24"/>
          <w:rtl/>
          <w:lang w:bidi="he-IL"/>
        </w:rPr>
        <w:t xml:space="preserve">הכרוניקה </w:t>
      </w:r>
      <w:r w:rsidRPr="00A86848">
        <w:rPr>
          <w:rFonts w:hint="cs"/>
          <w:sz w:val="24"/>
          <w:szCs w:val="24"/>
          <w:rtl/>
          <w:lang w:bidi="he-IL"/>
        </w:rPr>
        <w:t>האנונימית:</w:t>
      </w:r>
    </w:p>
    <w:p w:rsidR="003F4B5B" w:rsidRPr="00A86848" w:rsidRDefault="003F4B5B" w:rsidP="003F4B5B">
      <w:pPr>
        <w:bidi/>
        <w:jc w:val="both"/>
        <w:rPr>
          <w:sz w:val="24"/>
          <w:szCs w:val="24"/>
          <w:rtl/>
          <w:lang w:bidi="he-IL"/>
        </w:rPr>
      </w:pPr>
      <w:r w:rsidRPr="00A86848">
        <w:rPr>
          <w:sz w:val="24"/>
          <w:szCs w:val="24"/>
          <w:lang w:val="en-GB" w:bidi="he-IL"/>
        </w:rPr>
        <w:t xml:space="preserve">R. Hill (ed.), </w:t>
      </w:r>
      <w:proofErr w:type="gramStart"/>
      <w:r w:rsidRPr="00A86848">
        <w:rPr>
          <w:i/>
          <w:iCs/>
          <w:sz w:val="24"/>
          <w:szCs w:val="24"/>
          <w:lang w:val="en-GB" w:bidi="he-IL"/>
        </w:rPr>
        <w:t>The</w:t>
      </w:r>
      <w:proofErr w:type="gramEnd"/>
      <w:r w:rsidRPr="00A86848">
        <w:rPr>
          <w:i/>
          <w:iCs/>
          <w:sz w:val="24"/>
          <w:szCs w:val="24"/>
          <w:lang w:val="en-GB" w:bidi="he-IL"/>
        </w:rPr>
        <w:t xml:space="preserve"> Deeds of the Franks and the other Pilgrims to Jerusalem</w:t>
      </w:r>
      <w:r w:rsidRPr="00A86848">
        <w:rPr>
          <w:sz w:val="24"/>
          <w:szCs w:val="24"/>
          <w:lang w:val="en-GB" w:bidi="he-IL"/>
        </w:rPr>
        <w:t xml:space="preserve"> (London, 1962).</w:t>
      </w:r>
    </w:p>
    <w:p w:rsidR="00755FDF" w:rsidRPr="00A86848" w:rsidRDefault="00755FDF" w:rsidP="00755FDF">
      <w:pPr>
        <w:bidi/>
        <w:jc w:val="both"/>
        <w:rPr>
          <w:sz w:val="24"/>
          <w:szCs w:val="24"/>
          <w:rtl/>
          <w:lang w:bidi="he-IL"/>
        </w:rPr>
      </w:pPr>
      <w:r w:rsidRPr="00A86848">
        <w:rPr>
          <w:sz w:val="24"/>
          <w:szCs w:val="24"/>
          <w:rtl/>
          <w:lang w:bidi="he-IL"/>
        </w:rPr>
        <w:t xml:space="preserve">הכרוניקות </w:t>
      </w:r>
      <w:r w:rsidRPr="00A86848">
        <w:rPr>
          <w:rFonts w:hint="cs"/>
          <w:sz w:val="24"/>
          <w:szCs w:val="24"/>
          <w:rtl/>
          <w:lang w:bidi="he-IL"/>
        </w:rPr>
        <w:t>העבריות של פרעות תתנ"ו:</w:t>
      </w:r>
    </w:p>
    <w:p w:rsidR="00755FDF" w:rsidRPr="00A86848" w:rsidRDefault="00755FDF" w:rsidP="00755FDF">
      <w:pPr>
        <w:bidi/>
        <w:jc w:val="both"/>
        <w:rPr>
          <w:sz w:val="24"/>
          <w:szCs w:val="24"/>
          <w:rtl/>
          <w:lang w:bidi="he-IL"/>
        </w:rPr>
      </w:pPr>
      <w:r w:rsidRPr="00A86848">
        <w:rPr>
          <w:sz w:val="24"/>
          <w:szCs w:val="24"/>
          <w:lang w:bidi="he-IL"/>
        </w:rPr>
        <w:t xml:space="preserve">Eva </w:t>
      </w:r>
      <w:proofErr w:type="spellStart"/>
      <w:r w:rsidRPr="00A86848">
        <w:rPr>
          <w:sz w:val="24"/>
          <w:szCs w:val="24"/>
          <w:lang w:bidi="he-IL"/>
        </w:rPr>
        <w:t>Haverkamp</w:t>
      </w:r>
      <w:proofErr w:type="spellEnd"/>
      <w:r w:rsidRPr="00A86848">
        <w:rPr>
          <w:sz w:val="24"/>
          <w:szCs w:val="24"/>
          <w:lang w:bidi="he-IL"/>
        </w:rPr>
        <w:t xml:space="preserve">, </w:t>
      </w:r>
      <w:proofErr w:type="spellStart"/>
      <w:r w:rsidRPr="00A86848">
        <w:rPr>
          <w:i/>
          <w:iCs/>
          <w:sz w:val="24"/>
          <w:szCs w:val="24"/>
          <w:lang w:bidi="he-IL"/>
        </w:rPr>
        <w:t>Hebräische</w:t>
      </w:r>
      <w:proofErr w:type="spellEnd"/>
      <w:r w:rsidRPr="00A86848">
        <w:rPr>
          <w:i/>
          <w:iCs/>
          <w:sz w:val="24"/>
          <w:szCs w:val="24"/>
          <w:lang w:bidi="he-IL"/>
        </w:rPr>
        <w:t xml:space="preserve"> </w:t>
      </w:r>
      <w:proofErr w:type="spellStart"/>
      <w:r w:rsidRPr="00A86848">
        <w:rPr>
          <w:i/>
          <w:iCs/>
          <w:sz w:val="24"/>
          <w:szCs w:val="24"/>
          <w:lang w:bidi="he-IL"/>
        </w:rPr>
        <w:t>Berichte</w:t>
      </w:r>
      <w:proofErr w:type="spellEnd"/>
      <w:r w:rsidRPr="00A86848">
        <w:rPr>
          <w:i/>
          <w:iCs/>
          <w:sz w:val="24"/>
          <w:szCs w:val="24"/>
          <w:lang w:bidi="he-IL"/>
        </w:rPr>
        <w:t xml:space="preserve"> </w:t>
      </w:r>
      <w:proofErr w:type="spellStart"/>
      <w:r w:rsidRPr="00A86848">
        <w:rPr>
          <w:i/>
          <w:iCs/>
          <w:sz w:val="24"/>
          <w:szCs w:val="24"/>
          <w:lang w:bidi="he-IL"/>
        </w:rPr>
        <w:t>über</w:t>
      </w:r>
      <w:proofErr w:type="spellEnd"/>
      <w:r w:rsidRPr="00A86848">
        <w:rPr>
          <w:i/>
          <w:iCs/>
          <w:sz w:val="24"/>
          <w:szCs w:val="24"/>
          <w:lang w:bidi="he-IL"/>
        </w:rPr>
        <w:t xml:space="preserve"> die </w:t>
      </w:r>
      <w:proofErr w:type="spellStart"/>
      <w:r w:rsidRPr="00A86848">
        <w:rPr>
          <w:i/>
          <w:iCs/>
          <w:sz w:val="24"/>
          <w:szCs w:val="24"/>
          <w:lang w:bidi="he-IL"/>
        </w:rPr>
        <w:t>Judenverfolgungen</w:t>
      </w:r>
      <w:proofErr w:type="spellEnd"/>
      <w:r w:rsidRPr="00A86848">
        <w:rPr>
          <w:i/>
          <w:iCs/>
          <w:sz w:val="24"/>
          <w:szCs w:val="24"/>
          <w:lang w:bidi="he-IL"/>
        </w:rPr>
        <w:t xml:space="preserve"> </w:t>
      </w:r>
      <w:proofErr w:type="spellStart"/>
      <w:r w:rsidRPr="00A86848">
        <w:rPr>
          <w:i/>
          <w:iCs/>
          <w:sz w:val="24"/>
          <w:szCs w:val="24"/>
          <w:lang w:bidi="he-IL"/>
        </w:rPr>
        <w:t>während</w:t>
      </w:r>
      <w:proofErr w:type="spellEnd"/>
      <w:r w:rsidRPr="00A86848">
        <w:rPr>
          <w:i/>
          <w:iCs/>
          <w:sz w:val="24"/>
          <w:szCs w:val="24"/>
          <w:lang w:bidi="he-IL"/>
        </w:rPr>
        <w:t xml:space="preserve"> des </w:t>
      </w:r>
      <w:proofErr w:type="spellStart"/>
      <w:r w:rsidRPr="00A86848">
        <w:rPr>
          <w:i/>
          <w:iCs/>
          <w:sz w:val="24"/>
          <w:szCs w:val="24"/>
          <w:lang w:bidi="he-IL"/>
        </w:rPr>
        <w:t>Ersten</w:t>
      </w:r>
      <w:proofErr w:type="spellEnd"/>
      <w:r w:rsidRPr="00A86848">
        <w:rPr>
          <w:i/>
          <w:iCs/>
          <w:sz w:val="24"/>
          <w:szCs w:val="24"/>
          <w:lang w:bidi="he-IL"/>
        </w:rPr>
        <w:t xml:space="preserve"> </w:t>
      </w:r>
      <w:proofErr w:type="spellStart"/>
      <w:r w:rsidRPr="00A86848">
        <w:rPr>
          <w:i/>
          <w:iCs/>
          <w:sz w:val="24"/>
          <w:szCs w:val="24"/>
          <w:lang w:bidi="he-IL"/>
        </w:rPr>
        <w:t>Kreuzzugs</w:t>
      </w:r>
      <w:proofErr w:type="spellEnd"/>
      <w:r w:rsidRPr="00A86848">
        <w:rPr>
          <w:i/>
          <w:iCs/>
          <w:sz w:val="24"/>
          <w:szCs w:val="24"/>
          <w:lang w:bidi="he-IL"/>
        </w:rPr>
        <w:t xml:space="preserve"> </w:t>
      </w:r>
      <w:r w:rsidRPr="00A86848">
        <w:rPr>
          <w:sz w:val="24"/>
          <w:szCs w:val="24"/>
          <w:lang w:bidi="he-IL"/>
        </w:rPr>
        <w:t>[</w:t>
      </w:r>
      <w:r w:rsidRPr="00A86848">
        <w:rPr>
          <w:i/>
          <w:iCs/>
          <w:sz w:val="24"/>
          <w:szCs w:val="24"/>
          <w:lang w:bidi="he-IL"/>
        </w:rPr>
        <w:t>Hebrew Accounts of the Persecutions of the Jews during the First Crusade</w:t>
      </w:r>
      <w:r w:rsidRPr="00A86848">
        <w:rPr>
          <w:sz w:val="24"/>
          <w:szCs w:val="24"/>
          <w:lang w:bidi="he-IL"/>
        </w:rPr>
        <w:t>] (Hannover 2005).</w:t>
      </w:r>
    </w:p>
    <w:p w:rsidR="00755FDF" w:rsidRPr="00A86848" w:rsidRDefault="00755FDF" w:rsidP="00755FDF">
      <w:pPr>
        <w:bidi/>
        <w:jc w:val="both"/>
        <w:rPr>
          <w:sz w:val="24"/>
          <w:szCs w:val="24"/>
          <w:rtl/>
          <w:lang w:bidi="he-IL"/>
        </w:rPr>
      </w:pPr>
      <w:r w:rsidRPr="00A86848">
        <w:rPr>
          <w:sz w:val="24"/>
          <w:szCs w:val="24"/>
          <w:rtl/>
          <w:lang w:bidi="he-IL"/>
        </w:rPr>
        <w:t>פול</w:t>
      </w:r>
      <w:r w:rsidRPr="00A86848">
        <w:rPr>
          <w:rFonts w:hint="cs"/>
          <w:sz w:val="24"/>
          <w:szCs w:val="24"/>
          <w:rtl/>
          <w:lang w:bidi="he-IL"/>
        </w:rPr>
        <w:t>חר משרטר:</w:t>
      </w:r>
    </w:p>
    <w:p w:rsidR="00755FDF" w:rsidRPr="00A86848" w:rsidRDefault="003C417D" w:rsidP="00755FDF">
      <w:pPr>
        <w:bidi/>
        <w:jc w:val="both"/>
        <w:rPr>
          <w:sz w:val="24"/>
          <w:szCs w:val="24"/>
          <w:lang w:val="en-GB" w:bidi="he-IL"/>
        </w:rPr>
      </w:pPr>
      <w:r w:rsidRPr="00A86848">
        <w:rPr>
          <w:sz w:val="24"/>
          <w:szCs w:val="24"/>
          <w:lang w:val="en-GB" w:bidi="he-IL"/>
        </w:rPr>
        <w:lastRenderedPageBreak/>
        <w:t>Fulcher of Chartres</w:t>
      </w:r>
      <w:r w:rsidRPr="00A86848">
        <w:rPr>
          <w:i/>
          <w:iCs/>
          <w:sz w:val="24"/>
          <w:szCs w:val="24"/>
          <w:lang w:val="en-GB" w:bidi="he-IL"/>
        </w:rPr>
        <w:t xml:space="preserve">, </w:t>
      </w:r>
      <w:proofErr w:type="gramStart"/>
      <w:r w:rsidRPr="00A86848">
        <w:rPr>
          <w:i/>
          <w:iCs/>
          <w:sz w:val="24"/>
          <w:szCs w:val="24"/>
          <w:lang w:val="en-GB" w:bidi="he-IL"/>
        </w:rPr>
        <w:t>A</w:t>
      </w:r>
      <w:proofErr w:type="gramEnd"/>
      <w:r w:rsidRPr="00A86848">
        <w:rPr>
          <w:i/>
          <w:iCs/>
          <w:sz w:val="24"/>
          <w:szCs w:val="24"/>
          <w:lang w:val="en-GB" w:bidi="he-IL"/>
        </w:rPr>
        <w:t xml:space="preserve"> History of the Expedition to Jerusalem</w:t>
      </w:r>
      <w:r w:rsidRPr="00A86848">
        <w:rPr>
          <w:sz w:val="24"/>
          <w:szCs w:val="24"/>
          <w:lang w:val="en-GB" w:bidi="he-IL"/>
        </w:rPr>
        <w:t>, 1095-1127, trans. F.R. Ryan (Knoxville, 1969).</w:t>
      </w:r>
    </w:p>
    <w:p w:rsidR="003C417D" w:rsidRPr="00A86848" w:rsidRDefault="003C417D" w:rsidP="004C4DED">
      <w:pPr>
        <w:bidi/>
        <w:jc w:val="both"/>
        <w:rPr>
          <w:sz w:val="24"/>
          <w:szCs w:val="24"/>
          <w:rtl/>
          <w:lang w:val="en-GB" w:bidi="he-IL"/>
        </w:rPr>
      </w:pPr>
      <w:r w:rsidRPr="00A86848">
        <w:rPr>
          <w:sz w:val="24"/>
          <w:szCs w:val="24"/>
          <w:rtl/>
          <w:lang w:val="en-GB" w:bidi="he-IL"/>
        </w:rPr>
        <w:t xml:space="preserve">מכתביו </w:t>
      </w:r>
      <w:r w:rsidRPr="00A86848">
        <w:rPr>
          <w:rFonts w:hint="cs"/>
          <w:sz w:val="24"/>
          <w:szCs w:val="24"/>
          <w:rtl/>
          <w:lang w:val="en-GB" w:bidi="he-IL"/>
        </w:rPr>
        <w:t>של אטיין: יובאו בתרגום עברי של המרצה.</w:t>
      </w:r>
    </w:p>
    <w:p w:rsidR="003C417D" w:rsidRPr="00A86848" w:rsidRDefault="003C417D" w:rsidP="003C417D">
      <w:pPr>
        <w:bidi/>
        <w:jc w:val="both"/>
        <w:rPr>
          <w:sz w:val="24"/>
          <w:szCs w:val="24"/>
          <w:rtl/>
          <w:lang w:val="en-GB" w:bidi="he-IL"/>
        </w:rPr>
      </w:pPr>
      <w:r w:rsidRPr="00A86848">
        <w:rPr>
          <w:rFonts w:hint="cs"/>
          <w:sz w:val="24"/>
          <w:szCs w:val="24"/>
          <w:rtl/>
          <w:lang w:val="en-GB" w:bidi="he-IL"/>
        </w:rPr>
        <w:t>הקטע מתוך הכ</w:t>
      </w:r>
      <w:r w:rsidR="003F4B5B" w:rsidRPr="00A86848">
        <w:rPr>
          <w:rFonts w:hint="cs"/>
          <w:sz w:val="24"/>
          <w:szCs w:val="24"/>
          <w:rtl/>
          <w:lang w:val="en-GB" w:bidi="he-IL"/>
        </w:rPr>
        <w:t>רוניקה של פולק רשה: יובא בתרגום עברי</w:t>
      </w:r>
      <w:r w:rsidRPr="00A86848">
        <w:rPr>
          <w:rFonts w:hint="cs"/>
          <w:sz w:val="24"/>
          <w:szCs w:val="24"/>
          <w:rtl/>
          <w:lang w:val="en-GB" w:bidi="he-IL"/>
        </w:rPr>
        <w:t xml:space="preserve"> של המרצה</w:t>
      </w:r>
      <w:r w:rsidR="003F4B5B" w:rsidRPr="00A86848">
        <w:rPr>
          <w:rFonts w:hint="cs"/>
          <w:sz w:val="24"/>
          <w:szCs w:val="24"/>
          <w:rtl/>
          <w:lang w:val="en-GB" w:bidi="he-IL"/>
        </w:rPr>
        <w:t>.</w:t>
      </w:r>
    </w:p>
    <w:p w:rsidR="003F4B5B" w:rsidRPr="00A86848" w:rsidRDefault="003F4B5B" w:rsidP="003F4B5B">
      <w:pPr>
        <w:bidi/>
        <w:jc w:val="both"/>
        <w:rPr>
          <w:sz w:val="24"/>
          <w:szCs w:val="24"/>
          <w:rtl/>
          <w:lang w:val="en-GB" w:bidi="he-IL"/>
        </w:rPr>
      </w:pPr>
      <w:r w:rsidRPr="00A86848">
        <w:rPr>
          <w:rFonts w:hint="cs"/>
          <w:sz w:val="24"/>
          <w:szCs w:val="24"/>
          <w:rtl/>
          <w:lang w:val="en-GB" w:bidi="he-IL"/>
        </w:rPr>
        <w:t xml:space="preserve">קטעים מתוך </w:t>
      </w:r>
      <w:r w:rsidRPr="00A86848">
        <w:rPr>
          <w:sz w:val="24"/>
          <w:szCs w:val="24"/>
          <w:rtl/>
          <w:lang w:val="en-GB" w:bidi="he-IL"/>
        </w:rPr>
        <w:t xml:space="preserve">הכרוניקה </w:t>
      </w:r>
      <w:r w:rsidRPr="00A86848">
        <w:rPr>
          <w:rFonts w:hint="cs"/>
          <w:sz w:val="24"/>
          <w:szCs w:val="24"/>
          <w:rtl/>
          <w:lang w:val="en-GB" w:bidi="he-IL"/>
        </w:rPr>
        <w:t>של ריימונד מאגילר: יובאו בתרגום עברי של המרצה.</w:t>
      </w:r>
    </w:p>
    <w:p w:rsidR="005C1DF9" w:rsidRPr="00A86848" w:rsidRDefault="005C1DF9" w:rsidP="005C1DF9">
      <w:pPr>
        <w:bidi/>
        <w:jc w:val="both"/>
        <w:rPr>
          <w:sz w:val="24"/>
          <w:szCs w:val="24"/>
          <w:rtl/>
          <w:lang w:val="en-GB" w:bidi="he-IL"/>
        </w:rPr>
      </w:pPr>
    </w:p>
    <w:p w:rsidR="005C1DF9" w:rsidRPr="00A86848" w:rsidRDefault="005C1DF9" w:rsidP="005C1DF9">
      <w:pPr>
        <w:bidi/>
        <w:jc w:val="both"/>
        <w:rPr>
          <w:sz w:val="24"/>
          <w:szCs w:val="24"/>
          <w:rtl/>
          <w:lang w:val="en-GB" w:bidi="he-IL"/>
        </w:rPr>
      </w:pPr>
      <w:r w:rsidRPr="00A86848">
        <w:rPr>
          <w:b/>
          <w:bCs/>
          <w:sz w:val="24"/>
          <w:szCs w:val="24"/>
          <w:u w:val="single"/>
          <w:rtl/>
          <w:lang w:val="en-GB" w:bidi="he-IL"/>
        </w:rPr>
        <w:t>חובות</w:t>
      </w:r>
      <w:r w:rsidRPr="00A86848">
        <w:rPr>
          <w:rFonts w:hint="cs"/>
          <w:sz w:val="24"/>
          <w:szCs w:val="24"/>
          <w:rtl/>
          <w:lang w:val="en-GB" w:bidi="he-IL"/>
        </w:rPr>
        <w:t>: השתתפות בשיעורים, קריאה ושטפת ועמידה בבחינה</w:t>
      </w:r>
    </w:p>
    <w:p w:rsidR="005C1DF9" w:rsidRPr="00A86848" w:rsidRDefault="005C1DF9" w:rsidP="005C1DF9">
      <w:pPr>
        <w:bidi/>
        <w:jc w:val="both"/>
        <w:rPr>
          <w:sz w:val="24"/>
          <w:szCs w:val="24"/>
          <w:lang w:val="en-GB" w:bidi="he-IL"/>
        </w:rPr>
      </w:pPr>
      <w:r w:rsidRPr="00A86848">
        <w:rPr>
          <w:rFonts w:hint="cs"/>
          <w:b/>
          <w:bCs/>
          <w:sz w:val="24"/>
          <w:szCs w:val="24"/>
          <w:u w:val="single"/>
          <w:rtl/>
          <w:lang w:val="en-GB" w:bidi="he-IL"/>
        </w:rPr>
        <w:t>מרכיבי הציון</w:t>
      </w:r>
      <w:r w:rsidRPr="00A86848">
        <w:rPr>
          <w:rFonts w:hint="cs"/>
          <w:sz w:val="24"/>
          <w:szCs w:val="24"/>
          <w:rtl/>
          <w:lang w:val="en-GB" w:bidi="he-IL"/>
        </w:rPr>
        <w:t>: הבחינה</w:t>
      </w:r>
    </w:p>
    <w:sectPr w:rsidR="005C1DF9" w:rsidRPr="00A868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6B5" w:rsidRDefault="00C426B5" w:rsidP="00755FDF">
      <w:pPr>
        <w:spacing w:after="0" w:line="240" w:lineRule="auto"/>
      </w:pPr>
      <w:r>
        <w:separator/>
      </w:r>
    </w:p>
  </w:endnote>
  <w:endnote w:type="continuationSeparator" w:id="0">
    <w:p w:rsidR="00C426B5" w:rsidRDefault="00C426B5" w:rsidP="00755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6B5" w:rsidRDefault="00C426B5" w:rsidP="00755FDF">
      <w:pPr>
        <w:spacing w:after="0" w:line="240" w:lineRule="auto"/>
      </w:pPr>
      <w:r>
        <w:separator/>
      </w:r>
    </w:p>
  </w:footnote>
  <w:footnote w:type="continuationSeparator" w:id="0">
    <w:p w:rsidR="00C426B5" w:rsidRDefault="00C426B5" w:rsidP="00755FDF">
      <w:pPr>
        <w:spacing w:after="0" w:line="240" w:lineRule="auto"/>
      </w:pPr>
      <w:r>
        <w:continuationSeparator/>
      </w:r>
    </w:p>
  </w:footnote>
  <w:footnote w:id="1">
    <w:p w:rsidR="00755FDF" w:rsidRDefault="00755FDF" w:rsidP="00755FDF">
      <w:pPr>
        <w:pStyle w:val="a4"/>
        <w:bidi/>
        <w:rPr>
          <w:rtl/>
          <w:lang w:bidi="he-IL"/>
        </w:rPr>
      </w:pPr>
      <w:r>
        <w:rPr>
          <w:rStyle w:val="a6"/>
        </w:rPr>
        <w:footnoteRef/>
      </w:r>
      <w:r>
        <w:t xml:space="preserve"> </w:t>
      </w:r>
      <w:r>
        <w:rPr>
          <w:rFonts w:hint="cs"/>
          <w:rtl/>
          <w:lang w:bidi="he-IL"/>
        </w:rPr>
        <w:t>משיקולי  נוחות הרשימה כוללת כותרות מקוצרות של מקורות שונים. הפניות ביבליוגרפיות מופיעות במלואן למטה.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A4DA5"/>
    <w:multiLevelType w:val="hybridMultilevel"/>
    <w:tmpl w:val="13668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9A"/>
    <w:rsid w:val="001F073E"/>
    <w:rsid w:val="003C417D"/>
    <w:rsid w:val="003F4B5B"/>
    <w:rsid w:val="004C4DED"/>
    <w:rsid w:val="004E66C9"/>
    <w:rsid w:val="005C1DF9"/>
    <w:rsid w:val="005F7514"/>
    <w:rsid w:val="006D239A"/>
    <w:rsid w:val="00755FDF"/>
    <w:rsid w:val="00783E17"/>
    <w:rsid w:val="00897DF0"/>
    <w:rsid w:val="00A53390"/>
    <w:rsid w:val="00A86848"/>
    <w:rsid w:val="00B158DD"/>
    <w:rsid w:val="00BB64D0"/>
    <w:rsid w:val="00C426B5"/>
    <w:rsid w:val="00D0631F"/>
    <w:rsid w:val="00D22306"/>
    <w:rsid w:val="00EA1BF3"/>
    <w:rsid w:val="00F35236"/>
    <w:rsid w:val="00F409D4"/>
    <w:rsid w:val="00FB38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CB647-CC0C-4C54-AE56-461D08FB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FDF"/>
    <w:pPr>
      <w:ind w:left="720"/>
      <w:contextualSpacing/>
    </w:pPr>
  </w:style>
  <w:style w:type="paragraph" w:styleId="a4">
    <w:name w:val="footnote text"/>
    <w:basedOn w:val="a"/>
    <w:link w:val="a5"/>
    <w:uiPriority w:val="99"/>
    <w:semiHidden/>
    <w:unhideWhenUsed/>
    <w:rsid w:val="00755FDF"/>
    <w:pPr>
      <w:spacing w:after="0" w:line="240" w:lineRule="auto"/>
    </w:pPr>
    <w:rPr>
      <w:sz w:val="20"/>
      <w:szCs w:val="20"/>
    </w:rPr>
  </w:style>
  <w:style w:type="character" w:customStyle="1" w:styleId="a5">
    <w:name w:val="טקסט הערת שוליים תו"/>
    <w:basedOn w:val="a0"/>
    <w:link w:val="a4"/>
    <w:uiPriority w:val="99"/>
    <w:semiHidden/>
    <w:rsid w:val="00755FDF"/>
    <w:rPr>
      <w:sz w:val="20"/>
      <w:szCs w:val="20"/>
    </w:rPr>
  </w:style>
  <w:style w:type="character" w:styleId="a6">
    <w:name w:val="footnote reference"/>
    <w:basedOn w:val="a0"/>
    <w:uiPriority w:val="99"/>
    <w:semiHidden/>
    <w:unhideWhenUsed/>
    <w:rsid w:val="00755F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6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E5F6B-CFA1-4A87-98CC-BEB1C600B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2770</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Israel Dept</cp:lastModifiedBy>
  <cp:revision>3</cp:revision>
  <dcterms:created xsi:type="dcterms:W3CDTF">2018-04-17T12:28:00Z</dcterms:created>
  <dcterms:modified xsi:type="dcterms:W3CDTF">2018-04-23T09:02:00Z</dcterms:modified>
</cp:coreProperties>
</file>