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57" w:rsidRDefault="00303C57" w:rsidP="004F5A3A">
      <w:pPr>
        <w:spacing w:line="360" w:lineRule="auto"/>
        <w:jc w:val="right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 עדכון:</w:t>
      </w:r>
      <w:r>
        <w:rPr>
          <w:rFonts w:ascii="Arial" w:hAnsi="Arial" w:cs="Tahoma" w:hint="cs"/>
          <w:bCs/>
          <w:rtl/>
        </w:rPr>
        <w:t xml:space="preserve"> </w:t>
      </w:r>
      <w:r w:rsidR="004F5A3A">
        <w:rPr>
          <w:rFonts w:ascii="Arial" w:hAnsi="Arial" w:cs="Tahoma" w:hint="cs"/>
          <w:bCs/>
          <w:rtl/>
        </w:rPr>
        <w:t>17</w:t>
      </w:r>
      <w:r>
        <w:rPr>
          <w:rFonts w:ascii="Arial" w:hAnsi="Arial" w:cs="Tahoma" w:hint="cs"/>
          <w:bCs/>
          <w:rtl/>
        </w:rPr>
        <w:t>.</w:t>
      </w:r>
      <w:r w:rsidR="004F5A3A">
        <w:rPr>
          <w:rFonts w:ascii="Arial" w:hAnsi="Arial" w:cs="Tahoma" w:hint="cs"/>
          <w:bCs/>
          <w:rtl/>
        </w:rPr>
        <w:t>4</w:t>
      </w:r>
      <w:r>
        <w:rPr>
          <w:rFonts w:ascii="Arial" w:hAnsi="Arial" w:cs="Tahoma" w:hint="cs"/>
          <w:bCs/>
          <w:rtl/>
        </w:rPr>
        <w:t>.2019</w:t>
      </w:r>
      <w:r>
        <w:rPr>
          <w:rFonts w:ascii="Arial" w:hAnsi="Arial" w:cs="Tahoma" w:hint="cs"/>
          <w:bCs/>
          <w:sz w:val="36"/>
          <w:szCs w:val="36"/>
          <w:rtl/>
        </w:rPr>
        <w:t xml:space="preserve"> </w:t>
      </w:r>
    </w:p>
    <w:p w:rsidR="00F1698D" w:rsidRDefault="00F1698D" w:rsidP="00303C57">
      <w:pPr>
        <w:bidi w:val="0"/>
        <w:rPr>
          <w:rFonts w:asciiTheme="majorBidi" w:hAnsiTheme="majorBidi" w:cstheme="majorBidi"/>
        </w:rPr>
      </w:pPr>
    </w:p>
    <w:p w:rsidR="00303C57" w:rsidRPr="00303C57" w:rsidRDefault="00303C57" w:rsidP="00303C57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303C57">
        <w:rPr>
          <w:rFonts w:asciiTheme="minorBidi" w:hAnsiTheme="minorBidi" w:hint="cs"/>
          <w:b/>
          <w:bCs/>
          <w:sz w:val="36"/>
          <w:szCs w:val="36"/>
          <w:rtl/>
        </w:rPr>
        <w:t>שם ומספר הקורס:</w:t>
      </w:r>
    </w:p>
    <w:p w:rsidR="00332886" w:rsidRDefault="00332886" w:rsidP="002F781B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303C57">
        <w:rPr>
          <w:rFonts w:asciiTheme="minorBidi" w:hAnsiTheme="minorBidi"/>
          <w:b/>
          <w:bCs/>
          <w:sz w:val="36"/>
          <w:szCs w:val="36"/>
          <w:rtl/>
        </w:rPr>
        <w:t>מוסלמים, נוצרים ויהודים: ארץ ישראל מהכיבוש הצלבני ועד הכיבוש העות'מאני</w:t>
      </w:r>
      <w:r w:rsidR="00C10BE7" w:rsidRPr="00303C5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</w:p>
    <w:p w:rsidR="00303C57" w:rsidRDefault="00303C57" w:rsidP="002F781B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>16-312-01</w:t>
      </w:r>
    </w:p>
    <w:p w:rsidR="00303C57" w:rsidRPr="002E026B" w:rsidRDefault="00303C57" w:rsidP="00303C57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שם מרצה: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>
        <w:rPr>
          <w:rFonts w:ascii="Arial" w:hAnsi="Arial" w:cs="Tahoma" w:hint="cs"/>
          <w:rtl/>
        </w:rPr>
        <w:t>ד"ר יונתן רובין</w:t>
      </w:r>
    </w:p>
    <w:p w:rsidR="00303C57" w:rsidRPr="002E026B" w:rsidRDefault="00303C57" w:rsidP="00303C57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הרצאה</w:t>
      </w:r>
    </w:p>
    <w:p w:rsidR="00303C57" w:rsidRPr="002E026B" w:rsidRDefault="00303C57" w:rsidP="00303C57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תש"פ</w:t>
      </w:r>
      <w:r>
        <w:rPr>
          <w:rFonts w:ascii="Arial" w:hAnsi="Arial" w:cs="Arial"/>
          <w:rtl/>
        </w:rPr>
        <w:t xml:space="preserve">              </w:t>
      </w:r>
      <w:r w:rsidRPr="002E026B">
        <w:rPr>
          <w:rFonts w:ascii="Arial" w:hAnsi="Arial" w:cs="Arial"/>
          <w:rtl/>
        </w:rPr>
        <w:t xml:space="preserve">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 xml:space="preserve"> שנתי</w:t>
      </w:r>
      <w:r>
        <w:rPr>
          <w:rFonts w:ascii="Arial" w:hAnsi="Arial" w:cs="Arial"/>
          <w:rtl/>
        </w:rPr>
        <w:t xml:space="preserve">  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2 ש"ש</w:t>
      </w:r>
      <w:r w:rsidRPr="002E026B">
        <w:rPr>
          <w:rFonts w:ascii="Arial" w:hAnsi="Arial" w:cs="Arial"/>
          <w:rtl/>
        </w:rPr>
        <w:t xml:space="preserve"> </w:t>
      </w:r>
    </w:p>
    <w:p w:rsidR="00303C57" w:rsidRPr="008E696B" w:rsidRDefault="00303C57" w:rsidP="00303C57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</w:t>
      </w:r>
    </w:p>
    <w:p w:rsidR="00303C57" w:rsidRPr="00303C57" w:rsidRDefault="00303C57" w:rsidP="002F781B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947E29" w:rsidRPr="003C3703" w:rsidRDefault="00303C57" w:rsidP="005442F3">
      <w:pPr>
        <w:rPr>
          <w:rFonts w:asciiTheme="majorBidi" w:hAnsiTheme="majorBidi" w:cstheme="majorBidi"/>
          <w:rtl/>
        </w:rPr>
      </w:pPr>
      <w:r>
        <w:rPr>
          <w:rFonts w:ascii="Arial" w:hAnsi="Arial" w:cs="Arial"/>
          <w:b/>
          <w:bCs/>
          <w:color w:val="0000FF"/>
          <w:sz w:val="26"/>
          <w:szCs w:val="26"/>
          <w:rtl/>
        </w:rPr>
        <w:t>מטר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ת הקורס</w:t>
      </w:r>
      <w:r w:rsidR="00CD3720" w:rsidRPr="003C3703">
        <w:rPr>
          <w:rFonts w:asciiTheme="majorBidi" w:hAnsiTheme="majorBidi" w:cstheme="majorBidi" w:hint="cs"/>
          <w:rtl/>
        </w:rPr>
        <w:t>:</w:t>
      </w:r>
      <w:r w:rsidR="005442F3">
        <w:rPr>
          <w:rFonts w:asciiTheme="majorBidi" w:hAnsiTheme="majorBidi" w:cstheme="majorBidi" w:hint="cs"/>
          <w:rtl/>
        </w:rPr>
        <w:t xml:space="preserve"> </w:t>
      </w:r>
      <w:r w:rsidR="00BE789D" w:rsidRPr="00303C57">
        <w:rPr>
          <w:rFonts w:asciiTheme="minorBidi" w:hAnsiTheme="minorBidi"/>
          <w:sz w:val="24"/>
          <w:szCs w:val="24"/>
          <w:rtl/>
        </w:rPr>
        <w:t xml:space="preserve">יצירת </w:t>
      </w:r>
      <w:r w:rsidR="00614A24" w:rsidRPr="00303C57">
        <w:rPr>
          <w:rFonts w:asciiTheme="minorBidi" w:hAnsiTheme="minorBidi"/>
          <w:sz w:val="24"/>
          <w:szCs w:val="24"/>
          <w:rtl/>
        </w:rPr>
        <w:t xml:space="preserve">היכרות עם </w:t>
      </w:r>
      <w:r w:rsidR="00CD3720" w:rsidRPr="00303C57">
        <w:rPr>
          <w:rFonts w:asciiTheme="minorBidi" w:hAnsiTheme="minorBidi"/>
          <w:sz w:val="24"/>
          <w:szCs w:val="24"/>
          <w:rtl/>
        </w:rPr>
        <w:t xml:space="preserve">תולדותיה של הארץ </w:t>
      </w:r>
      <w:r w:rsidR="00947E29" w:rsidRPr="00303C57">
        <w:rPr>
          <w:rFonts w:asciiTheme="minorBidi" w:hAnsiTheme="minorBidi"/>
          <w:sz w:val="24"/>
          <w:szCs w:val="24"/>
          <w:rtl/>
        </w:rPr>
        <w:t>בימי הביניים המרכזיים והמאוחרים</w:t>
      </w:r>
      <w:r w:rsidR="00BE789D" w:rsidRPr="00303C57">
        <w:rPr>
          <w:rFonts w:asciiTheme="minorBidi" w:hAnsiTheme="minorBidi"/>
          <w:sz w:val="24"/>
          <w:szCs w:val="24"/>
          <w:rtl/>
        </w:rPr>
        <w:t>,</w:t>
      </w:r>
      <w:r w:rsidR="00947E29" w:rsidRPr="00303C57">
        <w:rPr>
          <w:rFonts w:asciiTheme="minorBidi" w:hAnsiTheme="minorBidi"/>
          <w:sz w:val="24"/>
          <w:szCs w:val="24"/>
          <w:rtl/>
        </w:rPr>
        <w:t xml:space="preserve"> ועם השאלות העיקריות שעמן מתמודדים היסטוריונים בעבודתם על תקופות אלה; הכרת התרבויות השונות שלקחו חלק בעיצובה של הארץ בתקופה הנדונה; פיתוחה של יכולת לבצע ניתוח היסטורי מורכב ורגיש </w:t>
      </w:r>
      <w:r w:rsidR="00614A24" w:rsidRPr="00303C57">
        <w:rPr>
          <w:rFonts w:asciiTheme="minorBidi" w:hAnsiTheme="minorBidi"/>
          <w:sz w:val="24"/>
          <w:szCs w:val="24"/>
          <w:rtl/>
        </w:rPr>
        <w:t>תוך התייחסות למשת</w:t>
      </w:r>
      <w:r w:rsidR="00C45207" w:rsidRPr="00303C57">
        <w:rPr>
          <w:rFonts w:asciiTheme="minorBidi" w:hAnsiTheme="minorBidi"/>
          <w:sz w:val="24"/>
          <w:szCs w:val="24"/>
          <w:rtl/>
        </w:rPr>
        <w:t>נים</w:t>
      </w:r>
      <w:r w:rsidR="00947E29" w:rsidRPr="00303C57">
        <w:rPr>
          <w:rFonts w:asciiTheme="minorBidi" w:hAnsiTheme="minorBidi"/>
          <w:sz w:val="24"/>
          <w:szCs w:val="24"/>
          <w:rtl/>
        </w:rPr>
        <w:t xml:space="preserve"> חברתיים, תרבותיים, פוליטיים, כלכליים וצבאיים</w:t>
      </w:r>
      <w:r w:rsidR="00947E29" w:rsidRPr="003C3703">
        <w:rPr>
          <w:rFonts w:asciiTheme="majorBidi" w:hAnsiTheme="majorBidi" w:cstheme="majorBidi" w:hint="cs"/>
          <w:rtl/>
        </w:rPr>
        <w:t>.</w:t>
      </w:r>
    </w:p>
    <w:p w:rsidR="00947E29" w:rsidRPr="003C3703" w:rsidRDefault="00947E29">
      <w:pPr>
        <w:rPr>
          <w:rFonts w:asciiTheme="majorBidi" w:hAnsiTheme="majorBidi" w:cstheme="majorBidi"/>
          <w:rtl/>
        </w:rPr>
      </w:pPr>
    </w:p>
    <w:p w:rsidR="00947E29" w:rsidRPr="00303C57" w:rsidRDefault="005442F3" w:rsidP="005442F3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תוצרי למידה:</w:t>
      </w:r>
      <w:r>
        <w:rPr>
          <w:rFonts w:asciiTheme="majorBidi" w:hAnsiTheme="majorBidi" w:cstheme="majorBidi" w:hint="cs"/>
          <w:rtl/>
        </w:rPr>
        <w:t xml:space="preserve"> </w:t>
      </w:r>
      <w:r w:rsidR="00C45207" w:rsidRPr="00303C57">
        <w:rPr>
          <w:rFonts w:asciiTheme="minorBidi" w:hAnsiTheme="minorBidi" w:hint="cs"/>
          <w:sz w:val="24"/>
          <w:szCs w:val="24"/>
          <w:rtl/>
        </w:rPr>
        <w:t xml:space="preserve">מכיבושה </w:t>
      </w:r>
      <w:r w:rsidR="00947E29" w:rsidRPr="00303C57">
        <w:rPr>
          <w:rFonts w:asciiTheme="minorBidi" w:hAnsiTheme="minorBidi" w:hint="cs"/>
          <w:sz w:val="24"/>
          <w:szCs w:val="24"/>
          <w:rtl/>
        </w:rPr>
        <w:t>בידי הצלבנים בשנת 1099 ועד לכיבושה בידי העות</w:t>
      </w:r>
      <w:r w:rsidR="00C45207" w:rsidRPr="00303C57">
        <w:rPr>
          <w:rFonts w:asciiTheme="minorBidi" w:hAnsiTheme="minorBidi" w:hint="cs"/>
          <w:sz w:val="24"/>
          <w:szCs w:val="24"/>
          <w:rtl/>
        </w:rPr>
        <w:t>'</w:t>
      </w:r>
      <w:r w:rsidR="00947E29" w:rsidRPr="00303C57">
        <w:rPr>
          <w:rFonts w:asciiTheme="minorBidi" w:hAnsiTheme="minorBidi" w:hint="cs"/>
          <w:sz w:val="24"/>
          <w:szCs w:val="24"/>
          <w:rtl/>
        </w:rPr>
        <w:t>מאנים בשנת 1517</w:t>
      </w:r>
      <w:r w:rsidR="00C45207" w:rsidRPr="00303C57">
        <w:rPr>
          <w:rFonts w:asciiTheme="minorBidi" w:hAnsiTheme="minorBidi" w:hint="cs"/>
          <w:sz w:val="24"/>
          <w:szCs w:val="24"/>
          <w:rtl/>
        </w:rPr>
        <w:t xml:space="preserve"> הייתה הארץ זירת פעילותם של כוחות שונים ומגוונים. אלה התיישבו בה, ולעיתים קרובות נאבקו זה בזה בתחומי הארץ וסביבה, אך</w:t>
      </w:r>
      <w:r w:rsidR="00614A24" w:rsidRPr="00303C57">
        <w:rPr>
          <w:rFonts w:asciiTheme="minorBidi" w:hAnsiTheme="minorBidi" w:hint="cs"/>
          <w:sz w:val="24"/>
          <w:szCs w:val="24"/>
          <w:rtl/>
        </w:rPr>
        <w:t xml:space="preserve"> גם </w:t>
      </w:r>
      <w:r w:rsidR="00C45207" w:rsidRPr="00303C57">
        <w:rPr>
          <w:rFonts w:asciiTheme="minorBidi" w:hAnsiTheme="minorBidi" w:hint="cs"/>
          <w:sz w:val="24"/>
          <w:szCs w:val="24"/>
          <w:rtl/>
        </w:rPr>
        <w:t>הושפעו</w:t>
      </w:r>
      <w:r w:rsidR="00614A24" w:rsidRPr="00303C57">
        <w:rPr>
          <w:rFonts w:asciiTheme="minorBidi" w:hAnsiTheme="minorBidi" w:hint="cs"/>
          <w:sz w:val="24"/>
          <w:szCs w:val="24"/>
          <w:rtl/>
        </w:rPr>
        <w:t xml:space="preserve"> האחד מרעהו ולעיתים אף שיתפו פעולה. </w:t>
      </w:r>
      <w:r w:rsidR="00C45207" w:rsidRPr="00303C57">
        <w:rPr>
          <w:rFonts w:asciiTheme="minorBidi" w:hAnsiTheme="minorBidi" w:hint="cs"/>
          <w:sz w:val="24"/>
          <w:szCs w:val="24"/>
          <w:rtl/>
        </w:rPr>
        <w:t>כל אחת</w:t>
      </w:r>
      <w:r w:rsidR="00614A24" w:rsidRPr="00303C57">
        <w:rPr>
          <w:rFonts w:asciiTheme="minorBidi" w:hAnsiTheme="minorBidi" w:hint="cs"/>
          <w:sz w:val="24"/>
          <w:szCs w:val="24"/>
          <w:rtl/>
        </w:rPr>
        <w:t xml:space="preserve"> מהקבוצות שפעלו במרחב הזה הותירה בו חותם הניכר בו עד היום</w:t>
      </w:r>
      <w:r w:rsidR="00C45207" w:rsidRPr="00303C57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03C57">
        <w:rPr>
          <w:rFonts w:asciiTheme="minorBidi" w:hAnsiTheme="minorBidi" w:hint="cs"/>
          <w:sz w:val="24"/>
          <w:szCs w:val="24"/>
          <w:rtl/>
        </w:rPr>
        <w:t>בסוף הקורס התלמידים יכירו את קבוצות האוכלוסייה השונות שחיו בארץ בתקופה הנדונה ואת מערכות היחסים שביניהן; הם יכירו את התהליכים המרכזיים שהארץ ידעה בתקופה הנלמדת; הם יידעו לדון באופן ביקורתי בטענות כלליות שונות המושמעות לעיתים לגבי תקופה זו; הם יכירו מרכיבים ומאפיינים מרכזיים של החותם הארכיאולוגי שתקופה זו הותירה בארץ</w:t>
      </w:r>
      <w:r w:rsidR="00C45207" w:rsidRPr="00303C57">
        <w:rPr>
          <w:rFonts w:asciiTheme="minorBidi" w:hAnsiTheme="minorBidi" w:hint="cs"/>
          <w:sz w:val="24"/>
          <w:szCs w:val="24"/>
          <w:rtl/>
        </w:rPr>
        <w:t>.</w:t>
      </w:r>
      <w:r w:rsidRPr="00303C57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302AAD" w:rsidRDefault="00302AAD" w:rsidP="003C3703">
      <w:pPr>
        <w:rPr>
          <w:rFonts w:asciiTheme="majorBidi" w:hAnsiTheme="majorBidi" w:cstheme="majorBidi"/>
          <w:sz w:val="24"/>
          <w:szCs w:val="24"/>
          <w:rtl/>
        </w:rPr>
      </w:pPr>
    </w:p>
    <w:p w:rsidR="00302AAD" w:rsidRPr="00303C57" w:rsidRDefault="00302AAD" w:rsidP="003C3703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תוכן הקורס: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03C57">
        <w:rPr>
          <w:rFonts w:asciiTheme="minorBidi" w:hAnsiTheme="minorBidi" w:hint="cs"/>
          <w:sz w:val="24"/>
          <w:szCs w:val="24"/>
          <w:rtl/>
        </w:rPr>
        <w:t>הקורס עוסק בתולדותיה של הארץ ממסע הצלב הראשון ועד הכיבוש העות'מאני. במהלכו נעקוב אחר ההתרחשויות וההתפתחויות המרכזיות בארץ ובסביבותיה בתקופה סוערת זו.</w:t>
      </w:r>
    </w:p>
    <w:p w:rsidR="00302AAD" w:rsidRPr="00303C57" w:rsidRDefault="00302AAD" w:rsidP="003C3703">
      <w:pPr>
        <w:rPr>
          <w:rFonts w:asciiTheme="minorBidi" w:hAnsiTheme="minorBidi"/>
          <w:sz w:val="24"/>
          <w:szCs w:val="24"/>
          <w:rtl/>
        </w:rPr>
      </w:pPr>
    </w:p>
    <w:p w:rsidR="00302AAD" w:rsidRPr="00303C57" w:rsidRDefault="00302AAD" w:rsidP="003C3703">
      <w:pPr>
        <w:rPr>
          <w:rFonts w:asciiTheme="minorBidi" w:hAnsiTheme="minorBidi"/>
          <w:sz w:val="24"/>
          <w:szCs w:val="24"/>
        </w:rPr>
      </w:pPr>
      <w:r w:rsidRPr="00303C57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מהלך השיעורים: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03C57">
        <w:rPr>
          <w:rFonts w:asciiTheme="minorBidi" w:hAnsiTheme="minorBidi" w:hint="cs"/>
          <w:sz w:val="24"/>
          <w:szCs w:val="24"/>
          <w:rtl/>
        </w:rPr>
        <w:t>הרצאה המלווה בחומר עשיר ומגוון שמועלה למודל והכולל מפות, צילומים ומקורות.</w:t>
      </w:r>
    </w:p>
    <w:p w:rsidR="00C22F47" w:rsidRDefault="00C22F47" w:rsidP="003C3703">
      <w:pPr>
        <w:rPr>
          <w:rFonts w:asciiTheme="majorBidi" w:hAnsiTheme="majorBidi" w:cstheme="majorBidi"/>
          <w:sz w:val="24"/>
          <w:szCs w:val="24"/>
          <w:rtl/>
        </w:rPr>
      </w:pPr>
    </w:p>
    <w:p w:rsidR="00BF4056" w:rsidRPr="00303C57" w:rsidRDefault="00302AAD" w:rsidP="00302AAD">
      <w:pPr>
        <w:rPr>
          <w:rFonts w:ascii="Arial" w:hAnsi="Arial" w:cs="Arial"/>
          <w:b/>
          <w:bCs/>
          <w:color w:val="0000FF"/>
          <w:sz w:val="26"/>
          <w:szCs w:val="26"/>
          <w:rtl/>
        </w:rPr>
      </w:pPr>
      <w:r w:rsidRPr="00303C57">
        <w:rPr>
          <w:rFonts w:ascii="Arial" w:hAnsi="Arial" w:cs="Arial" w:hint="cs"/>
          <w:b/>
          <w:bCs/>
          <w:color w:val="0000FF"/>
          <w:sz w:val="26"/>
          <w:szCs w:val="26"/>
          <w:rtl/>
        </w:rPr>
        <w:t xml:space="preserve"> רשימת הנושאים:</w:t>
      </w:r>
    </w:p>
    <w:p w:rsidR="00BF4056" w:rsidRPr="00303C57" w:rsidRDefault="00BF4056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רקע למסע הצלב הראשון: אירופה</w:t>
      </w:r>
      <w:r w:rsidR="00740AF8" w:rsidRPr="00303C57">
        <w:rPr>
          <w:rFonts w:asciiTheme="minorBidi" w:hAnsiTheme="minorBidi"/>
          <w:sz w:val="24"/>
          <w:szCs w:val="24"/>
          <w:rtl/>
        </w:rPr>
        <w:t xml:space="preserve"> בשלהי המאה האחת-עשרה</w:t>
      </w:r>
    </w:p>
    <w:p w:rsidR="00740AF8" w:rsidRPr="00303C57" w:rsidRDefault="00005785" w:rsidP="00005785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 xml:space="preserve">קריאה: </w:t>
      </w:r>
      <w:r w:rsidR="00740AF8" w:rsidRPr="00303C57">
        <w:rPr>
          <w:rFonts w:asciiTheme="minorBidi" w:hAnsiTheme="minorBidi"/>
          <w:sz w:val="24"/>
          <w:szCs w:val="24"/>
          <w:rtl/>
        </w:rPr>
        <w:t>איריס שגריר, מסעי הצלב: היסטוריה והיסטוריוגרפיה (</w:t>
      </w:r>
      <w:r w:rsidRPr="00303C57">
        <w:rPr>
          <w:rFonts w:asciiTheme="minorBidi" w:hAnsiTheme="minorBidi"/>
          <w:sz w:val="24"/>
          <w:szCs w:val="24"/>
          <w:rtl/>
        </w:rPr>
        <w:t>רעננה, 2014), עמ' 47-23</w:t>
      </w:r>
      <w:r w:rsidR="00740AF8" w:rsidRPr="00303C57">
        <w:rPr>
          <w:rFonts w:asciiTheme="minorBidi" w:hAnsiTheme="minorBidi"/>
          <w:sz w:val="24"/>
          <w:szCs w:val="24"/>
          <w:rtl/>
        </w:rPr>
        <w:t>.</w:t>
      </w:r>
    </w:p>
    <w:p w:rsidR="00BF4056" w:rsidRPr="00303C57" w:rsidRDefault="00BF4056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רקע למסע הצלב הראשון: מזרח הים התיכון</w:t>
      </w:r>
    </w:p>
    <w:p w:rsidR="008E063E" w:rsidRPr="00303C57" w:rsidRDefault="00005785" w:rsidP="00005785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קריאה: איריס שגריר, מסעי הצלב: היסטוריה והיסטוריוגרפיה (רעננה, 2014), עמ' 57-47.</w:t>
      </w:r>
    </w:p>
    <w:p w:rsidR="008E063E" w:rsidRPr="00303C57" w:rsidRDefault="008E063E" w:rsidP="00303C57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מסע הצלב הראשון ו</w:t>
      </w:r>
      <w:r w:rsidR="00FD0E41" w:rsidRPr="00303C57">
        <w:rPr>
          <w:rFonts w:asciiTheme="minorBidi" w:hAnsiTheme="minorBidi"/>
          <w:sz w:val="24"/>
          <w:szCs w:val="24"/>
          <w:rtl/>
        </w:rPr>
        <w:t>כיבושה של ירושלים</w:t>
      </w:r>
    </w:p>
    <w:p w:rsidR="008E063E" w:rsidRPr="00303C57" w:rsidRDefault="00C4682E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קריאה: יהושע פראוור</w:t>
      </w:r>
      <w:r w:rsidR="00D14C89" w:rsidRPr="00303C57">
        <w:rPr>
          <w:rFonts w:asciiTheme="minorBidi" w:hAnsiTheme="minorBidi"/>
          <w:sz w:val="24"/>
          <w:szCs w:val="24"/>
          <w:rtl/>
        </w:rPr>
        <w:t xml:space="preserve">, תולדות ממלכת הצלבנים בארץ-ישראל (ירושלים, 1963), </w:t>
      </w:r>
      <w:r w:rsidR="00736594" w:rsidRPr="00303C57">
        <w:rPr>
          <w:rFonts w:asciiTheme="minorBidi" w:hAnsiTheme="minorBidi"/>
          <w:sz w:val="24"/>
          <w:szCs w:val="24"/>
          <w:rtl/>
        </w:rPr>
        <w:t xml:space="preserve">כרך א', </w:t>
      </w:r>
      <w:r w:rsidR="00D14C89" w:rsidRPr="00303C57">
        <w:rPr>
          <w:rFonts w:asciiTheme="minorBidi" w:hAnsiTheme="minorBidi"/>
          <w:sz w:val="24"/>
          <w:szCs w:val="24"/>
          <w:rtl/>
        </w:rPr>
        <w:t>עמ' 133-91.</w:t>
      </w:r>
    </w:p>
    <w:p w:rsidR="008E063E" w:rsidRPr="00303C57" w:rsidRDefault="00A77134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קבוצות האוכלוסייה והיחסים ביניהן</w:t>
      </w:r>
    </w:p>
    <w:p w:rsidR="00736594" w:rsidRPr="00303C57" w:rsidRDefault="00736594" w:rsidP="00736594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איריס שגריר, מסעי הצלב: היסטוריה והיסטוריוגרפיה (רעננה, 2014), עמ' 314-301.</w:t>
      </w:r>
    </w:p>
    <w:p w:rsidR="00A03E6A" w:rsidRPr="00303C57" w:rsidRDefault="00F1698D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 xml:space="preserve">ב"ז קדר, </w:t>
      </w:r>
      <w:r w:rsidRPr="00303C57">
        <w:rPr>
          <w:rFonts w:asciiTheme="minorBidi" w:hAnsiTheme="minorBidi" w:hint="cs"/>
          <w:sz w:val="24"/>
          <w:szCs w:val="24"/>
          <w:rtl/>
        </w:rPr>
        <w:t xml:space="preserve">"המוסלמים הכפופים לשלטון הפראנקי בחופו המזרחי של הים התיכון." תרגום של: </w:t>
      </w:r>
      <w:r w:rsidRPr="00303C57">
        <w:rPr>
          <w:rFonts w:asciiTheme="minorBidi" w:hAnsiTheme="minorBidi"/>
          <w:sz w:val="24"/>
          <w:szCs w:val="24"/>
        </w:rPr>
        <w:t xml:space="preserve">Benjamin Z. </w:t>
      </w:r>
      <w:proofErr w:type="spellStart"/>
      <w:r w:rsidRPr="00303C57">
        <w:rPr>
          <w:rFonts w:asciiTheme="minorBidi" w:hAnsiTheme="minorBidi"/>
          <w:sz w:val="24"/>
          <w:szCs w:val="24"/>
        </w:rPr>
        <w:t>Kedar</w:t>
      </w:r>
      <w:proofErr w:type="spellEnd"/>
      <w:r w:rsidRPr="00303C57">
        <w:rPr>
          <w:rFonts w:asciiTheme="minorBidi" w:hAnsiTheme="minorBidi"/>
          <w:sz w:val="24"/>
          <w:szCs w:val="24"/>
        </w:rPr>
        <w:t>, "The Subjected Muslims of the Frankish Levant," in: Muslims under Latin Rule 1100-1300 (Princeton, 1990), pp. 135-174</w:t>
      </w:r>
      <w:proofErr w:type="gramStart"/>
      <w:r w:rsidRPr="00303C57">
        <w:rPr>
          <w:rFonts w:asciiTheme="minorBidi" w:hAnsiTheme="minorBidi"/>
          <w:sz w:val="24"/>
          <w:szCs w:val="24"/>
        </w:rPr>
        <w:t>.</w:t>
      </w:r>
      <w:r w:rsidR="00DE2162" w:rsidRPr="00303C57">
        <w:rPr>
          <w:rFonts w:asciiTheme="minorBidi" w:hAnsiTheme="minorBidi" w:hint="cs"/>
          <w:sz w:val="24"/>
          <w:szCs w:val="24"/>
          <w:rtl/>
        </w:rPr>
        <w:t>.</w:t>
      </w:r>
      <w:proofErr w:type="gramEnd"/>
      <w:r w:rsidRPr="00303C57">
        <w:rPr>
          <w:rFonts w:asciiTheme="minorBidi" w:hAnsiTheme="minorBidi" w:hint="cs"/>
          <w:sz w:val="24"/>
          <w:szCs w:val="24"/>
          <w:rtl/>
        </w:rPr>
        <w:t xml:space="preserve"> התרגום בתוך מסעי הצלב: היסטוריה והיסטוריוגרפיה, מקראה בעריכת איריס שגריר ואורית רמון.</w:t>
      </w:r>
    </w:p>
    <w:p w:rsidR="00EB6697" w:rsidRPr="00303C57" w:rsidRDefault="00F1698D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התרחבות טריטוריאלית</w:t>
      </w:r>
      <w:r w:rsidR="00B66F34" w:rsidRPr="00303C57">
        <w:rPr>
          <w:rFonts w:asciiTheme="minorBidi" w:hAnsiTheme="minorBidi"/>
          <w:sz w:val="24"/>
          <w:szCs w:val="24"/>
          <w:rtl/>
        </w:rPr>
        <w:t xml:space="preserve"> </w:t>
      </w:r>
      <w:r w:rsidR="00EB6697" w:rsidRPr="00303C57">
        <w:rPr>
          <w:rFonts w:asciiTheme="minorBidi" w:hAnsiTheme="minorBidi"/>
          <w:sz w:val="24"/>
          <w:szCs w:val="24"/>
          <w:rtl/>
        </w:rPr>
        <w:t>ופריסה גיאוגרפית</w:t>
      </w:r>
    </w:p>
    <w:p w:rsidR="00A03E6A" w:rsidRPr="00303C57" w:rsidRDefault="00F1698D" w:rsidP="00F1698D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קריאה: רוני אלנבלום</w:t>
      </w:r>
      <w:r w:rsidRPr="00303C57">
        <w:rPr>
          <w:rFonts w:asciiTheme="minorBidi" w:hAnsiTheme="minorBidi" w:hint="cs"/>
          <w:sz w:val="24"/>
          <w:szCs w:val="24"/>
          <w:rtl/>
        </w:rPr>
        <w:t xml:space="preserve">, "התיישבות פראנקית כפרית בממלכת ירושלים הלטינית: סיכום ומסקנות," (תרגום מספרו של אלנבלום: </w:t>
      </w:r>
      <w:r w:rsidRPr="00303C57">
        <w:rPr>
          <w:rFonts w:asciiTheme="minorBidi" w:hAnsiTheme="minorBidi"/>
          <w:sz w:val="24"/>
          <w:szCs w:val="24"/>
        </w:rPr>
        <w:t>Frankish Rural Settlement in the Latin Kingdom of Jerusalem (Cambridge, 1998)</w:t>
      </w:r>
      <w:r w:rsidRPr="00303C57">
        <w:rPr>
          <w:rFonts w:asciiTheme="minorBidi" w:hAnsiTheme="minorBidi" w:hint="cs"/>
          <w:sz w:val="24"/>
          <w:szCs w:val="24"/>
          <w:rtl/>
        </w:rPr>
        <w:t>). התרגום בתוך: מסעי הצלב: היסטוריה והיסטוריוגרפיה, מקראה בעריכת איריס שגריר ואור</w:t>
      </w:r>
      <w:r w:rsidR="00061E2B" w:rsidRPr="00303C57">
        <w:rPr>
          <w:rFonts w:asciiTheme="minorBidi" w:hAnsiTheme="minorBidi" w:hint="cs"/>
          <w:sz w:val="24"/>
          <w:szCs w:val="24"/>
          <w:rtl/>
        </w:rPr>
        <w:t>ית רמון, עמ' 369-362.</w:t>
      </w:r>
    </w:p>
    <w:p w:rsidR="00BF4056" w:rsidRPr="00303C57" w:rsidRDefault="008463C3" w:rsidP="00303C57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המסדרים הצבאיים</w:t>
      </w:r>
    </w:p>
    <w:p w:rsidR="008463C3" w:rsidRPr="00303C57" w:rsidRDefault="00C63F2B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קריאה: איריס שגריר, מסעי הצלב: היסטוריה והיסטוריוגרפיה (רעננה, 2014), עמ' 195-146.</w:t>
      </w:r>
    </w:p>
    <w:p w:rsidR="008463C3" w:rsidRPr="00303C57" w:rsidRDefault="00092805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המשטר בממלכת ירושלים</w:t>
      </w:r>
    </w:p>
    <w:p w:rsidR="00092805" w:rsidRPr="00303C57" w:rsidRDefault="00416D00" w:rsidP="00092805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 xml:space="preserve">קריאה: יהושע פראוור, תולדות ממלכת הצלבנים בארץ-ישראל (ירושלים, 1963), כרך א', </w:t>
      </w:r>
      <w:r w:rsidR="00DE2162" w:rsidRPr="00303C57">
        <w:rPr>
          <w:rFonts w:asciiTheme="minorBidi" w:hAnsiTheme="minorBidi"/>
          <w:sz w:val="24"/>
          <w:szCs w:val="24"/>
          <w:rtl/>
        </w:rPr>
        <w:t xml:space="preserve">עמ' 388-361, 404-398. </w:t>
      </w:r>
    </w:p>
    <w:p w:rsidR="00BF4056" w:rsidRPr="00303C57" w:rsidRDefault="00B66F34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עלייתם של האיובים</w:t>
      </w:r>
    </w:p>
    <w:p w:rsidR="00E2162D" w:rsidRPr="00303C57" w:rsidRDefault="005C2445" w:rsidP="005C2445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lastRenderedPageBreak/>
        <w:t xml:space="preserve">קריאה: </w:t>
      </w:r>
      <w:r w:rsidR="00E2162D" w:rsidRPr="00303C57">
        <w:rPr>
          <w:rFonts w:asciiTheme="minorBidi" w:hAnsiTheme="minorBidi"/>
          <w:sz w:val="24"/>
          <w:szCs w:val="24"/>
          <w:rtl/>
        </w:rPr>
        <w:t xml:space="preserve"> </w:t>
      </w:r>
      <w:r w:rsidRPr="00303C57">
        <w:rPr>
          <w:rFonts w:asciiTheme="minorBidi" w:hAnsiTheme="minorBidi"/>
          <w:sz w:val="24"/>
          <w:szCs w:val="24"/>
        </w:rPr>
        <w:t xml:space="preserve">Anne-Marie </w:t>
      </w:r>
      <w:proofErr w:type="spellStart"/>
      <w:r w:rsidRPr="00303C57">
        <w:rPr>
          <w:rFonts w:asciiTheme="minorBidi" w:hAnsiTheme="minorBidi"/>
          <w:sz w:val="24"/>
          <w:szCs w:val="24"/>
        </w:rPr>
        <w:t>Eddé</w:t>
      </w:r>
      <w:proofErr w:type="spellEnd"/>
      <w:r w:rsidRPr="00303C57">
        <w:rPr>
          <w:rFonts w:asciiTheme="minorBidi" w:hAnsiTheme="minorBidi"/>
          <w:sz w:val="24"/>
          <w:szCs w:val="24"/>
        </w:rPr>
        <w:t>, "</w:t>
      </w:r>
      <w:proofErr w:type="spellStart"/>
      <w:r w:rsidRPr="00303C57">
        <w:rPr>
          <w:rFonts w:asciiTheme="minorBidi" w:hAnsiTheme="minorBidi"/>
          <w:sz w:val="24"/>
          <w:szCs w:val="24"/>
        </w:rPr>
        <w:t>Bilād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 al-</w:t>
      </w:r>
      <w:proofErr w:type="spellStart"/>
      <w:r w:rsidRPr="00303C57">
        <w:rPr>
          <w:rFonts w:asciiTheme="minorBidi" w:hAnsiTheme="minorBidi"/>
          <w:sz w:val="24"/>
          <w:szCs w:val="24"/>
        </w:rPr>
        <w:t>Shām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, from the </w:t>
      </w:r>
      <w:proofErr w:type="spellStart"/>
      <w:r w:rsidRPr="00303C57">
        <w:rPr>
          <w:rFonts w:asciiTheme="minorBidi" w:hAnsiTheme="minorBidi"/>
          <w:sz w:val="24"/>
          <w:szCs w:val="24"/>
        </w:rPr>
        <w:t>Fātimid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 Conquest to the Fall of the </w:t>
      </w:r>
      <w:proofErr w:type="spellStart"/>
      <w:r w:rsidRPr="00303C57">
        <w:rPr>
          <w:rFonts w:asciiTheme="minorBidi" w:hAnsiTheme="minorBidi"/>
          <w:sz w:val="24"/>
          <w:szCs w:val="24"/>
        </w:rPr>
        <w:t>Ayyūbids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 (</w:t>
      </w:r>
      <w:r w:rsidR="00B1458F" w:rsidRPr="00303C57">
        <w:rPr>
          <w:rFonts w:asciiTheme="minorBidi" w:hAnsiTheme="minorBidi"/>
          <w:sz w:val="24"/>
          <w:szCs w:val="24"/>
        </w:rPr>
        <w:t>359-658/</w:t>
      </w:r>
      <w:r w:rsidRPr="00303C57">
        <w:rPr>
          <w:rFonts w:asciiTheme="minorBidi" w:hAnsiTheme="minorBidi"/>
          <w:sz w:val="24"/>
          <w:szCs w:val="24"/>
        </w:rPr>
        <w:t xml:space="preserve">970-1260)," The New Cambridge History of Islam, vol. 2 (Cambridge, 2010), pp. 180-186. </w:t>
      </w:r>
    </w:p>
    <w:p w:rsidR="00BF4056" w:rsidRPr="00303C57" w:rsidRDefault="008E063E" w:rsidP="00303C57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קרני חטין ונפילתה של ממלכת ירושלים</w:t>
      </w:r>
    </w:p>
    <w:p w:rsidR="008E063E" w:rsidRPr="00303C57" w:rsidRDefault="00092805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קריאה: ב"ז קדר, "קרב קרני חטין: מבט אחר," קתדרה 61 (ספטמבר, 1991), עמ' 112-95.</w:t>
      </w:r>
    </w:p>
    <w:p w:rsidR="008E063E" w:rsidRPr="00303C57" w:rsidRDefault="008E063E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מסע הצלב השלישי וכינונה של הממלכה השני</w:t>
      </w:r>
      <w:r w:rsidR="00092805" w:rsidRPr="00303C57">
        <w:rPr>
          <w:rFonts w:asciiTheme="minorBidi" w:hAnsiTheme="minorBidi"/>
          <w:sz w:val="24"/>
          <w:szCs w:val="24"/>
          <w:rtl/>
        </w:rPr>
        <w:t>י</w:t>
      </w:r>
      <w:r w:rsidRPr="00303C57">
        <w:rPr>
          <w:rFonts w:asciiTheme="minorBidi" w:hAnsiTheme="minorBidi"/>
          <w:sz w:val="24"/>
          <w:szCs w:val="24"/>
          <w:rtl/>
        </w:rPr>
        <w:t>ה</w:t>
      </w:r>
    </w:p>
    <w:p w:rsidR="00092805" w:rsidRPr="00303C57" w:rsidRDefault="00092805" w:rsidP="00092805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 xml:space="preserve">קריאה: </w:t>
      </w:r>
    </w:p>
    <w:p w:rsidR="00FC78E9" w:rsidRPr="00303C57" w:rsidRDefault="00FC78E9" w:rsidP="00FC78E9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</w:rPr>
        <w:t xml:space="preserve">Hans E. Mayer, The Crusades, trans. John </w:t>
      </w:r>
      <w:proofErr w:type="spellStart"/>
      <w:r w:rsidRPr="00303C57">
        <w:rPr>
          <w:rFonts w:asciiTheme="minorBidi" w:hAnsiTheme="minorBidi"/>
          <w:sz w:val="24"/>
          <w:szCs w:val="24"/>
        </w:rPr>
        <w:t>Gillingham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 (Oxford, 1988), pp. 137-151.</w:t>
      </w:r>
    </w:p>
    <w:p w:rsidR="00BF4056" w:rsidRPr="00303C57" w:rsidRDefault="00B66F34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פרידריך השני</w:t>
      </w:r>
      <w:r w:rsidR="00E2105D" w:rsidRPr="00303C57">
        <w:rPr>
          <w:rFonts w:asciiTheme="minorBidi" w:hAnsiTheme="minorBidi"/>
          <w:sz w:val="24"/>
          <w:szCs w:val="24"/>
          <w:rtl/>
        </w:rPr>
        <w:t xml:space="preserve"> והסכם תל עג'ול</w:t>
      </w:r>
    </w:p>
    <w:p w:rsidR="00FC78E9" w:rsidRPr="00303C57" w:rsidRDefault="00FC78E9" w:rsidP="00FC78E9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 xml:space="preserve">קריאה: </w:t>
      </w:r>
      <w:r w:rsidR="00B276B0" w:rsidRPr="00303C57">
        <w:rPr>
          <w:rFonts w:asciiTheme="minorBidi" w:hAnsiTheme="minorBidi"/>
          <w:sz w:val="24"/>
          <w:szCs w:val="24"/>
          <w:rtl/>
        </w:rPr>
        <w:t>יהושע פראוור, תולדות ממלכת הצלבנים בארץ-ישראל (ירושלים, 1963), כרך ב', עמ' 199-173.</w:t>
      </w:r>
    </w:p>
    <w:p w:rsidR="00BF4056" w:rsidRPr="00303C57" w:rsidRDefault="00BF4056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לואי התשיעי</w:t>
      </w:r>
      <w:r w:rsidR="00B276B0" w:rsidRPr="00303C57">
        <w:rPr>
          <w:rFonts w:asciiTheme="minorBidi" w:hAnsiTheme="minorBidi"/>
          <w:sz w:val="24"/>
          <w:szCs w:val="24"/>
          <w:rtl/>
        </w:rPr>
        <w:t xml:space="preserve"> ומסע הצלב השביעי</w:t>
      </w:r>
    </w:p>
    <w:p w:rsidR="00B276B0" w:rsidRPr="00303C57" w:rsidRDefault="00B276B0" w:rsidP="004920C4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קריאה:</w:t>
      </w:r>
      <w:r w:rsidR="004920C4" w:rsidRPr="00303C57">
        <w:rPr>
          <w:rFonts w:asciiTheme="minorBidi" w:hAnsiTheme="minorBidi"/>
          <w:sz w:val="24"/>
          <w:szCs w:val="24"/>
          <w:rtl/>
        </w:rPr>
        <w:t xml:space="preserve"> </w:t>
      </w:r>
      <w:r w:rsidRPr="00303C57">
        <w:rPr>
          <w:rFonts w:asciiTheme="minorBidi" w:hAnsiTheme="minorBidi"/>
          <w:sz w:val="24"/>
          <w:szCs w:val="24"/>
        </w:rPr>
        <w:t xml:space="preserve">Jean Richard, The Crusades, trans. Jean </w:t>
      </w:r>
      <w:proofErr w:type="spellStart"/>
      <w:r w:rsidRPr="00303C57">
        <w:rPr>
          <w:rFonts w:asciiTheme="minorBidi" w:hAnsiTheme="minorBidi"/>
          <w:sz w:val="24"/>
          <w:szCs w:val="24"/>
        </w:rPr>
        <w:t>Birrell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 (Cambridge, 1999), pp. 338-356.</w:t>
      </w:r>
    </w:p>
    <w:p w:rsidR="00BF4056" w:rsidRPr="00303C57" w:rsidRDefault="00BF4056" w:rsidP="00303C57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המהפכה הממלוכית</w:t>
      </w:r>
    </w:p>
    <w:p w:rsidR="00F96F59" w:rsidRPr="00303C57" w:rsidRDefault="00F96F59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 xml:space="preserve">קריאה: </w:t>
      </w:r>
      <w:r w:rsidRPr="00303C57">
        <w:rPr>
          <w:rFonts w:asciiTheme="minorBidi" w:hAnsiTheme="minorBidi"/>
          <w:sz w:val="24"/>
          <w:szCs w:val="24"/>
        </w:rPr>
        <w:t xml:space="preserve">Amalia </w:t>
      </w:r>
      <w:proofErr w:type="spellStart"/>
      <w:r w:rsidRPr="00303C57">
        <w:rPr>
          <w:rFonts w:asciiTheme="minorBidi" w:hAnsiTheme="minorBidi"/>
          <w:sz w:val="24"/>
          <w:szCs w:val="24"/>
        </w:rPr>
        <w:t>Levanoni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, "The </w:t>
      </w:r>
      <w:proofErr w:type="spellStart"/>
      <w:r w:rsidRPr="00303C57">
        <w:rPr>
          <w:rFonts w:asciiTheme="minorBidi" w:hAnsiTheme="minorBidi"/>
          <w:sz w:val="24"/>
          <w:szCs w:val="24"/>
        </w:rPr>
        <w:t>Mamluks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 in Egypt and Syria," The New Cambridge History of Islam, vol. 2 (Cambridge, 2010), pp. 237-239.</w:t>
      </w:r>
    </w:p>
    <w:p w:rsidR="00FD011E" w:rsidRPr="00303C57" w:rsidRDefault="00FD011E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ראובן עמיתי, "המדינה הממלוכית וקשריה עם ירושלים," בתוך: ספר ירושלים בתקופה הממלוכית (1517-1260), עורכים איוון פרידמן ויוסף דרורי (ירושלים, 2012), עמ' 11-3.</w:t>
      </w:r>
    </w:p>
    <w:p w:rsidR="00BF4056" w:rsidRPr="00303C57" w:rsidRDefault="00741EE2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עיצובה של הסולטנות הממלוכית ומדיניות החוץ שלה</w:t>
      </w:r>
    </w:p>
    <w:p w:rsidR="00741EE2" w:rsidRPr="00303C57" w:rsidRDefault="00741EE2" w:rsidP="0078075A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 xml:space="preserve">קריאה: </w:t>
      </w:r>
      <w:r w:rsidRPr="00303C57">
        <w:rPr>
          <w:rFonts w:asciiTheme="minorBidi" w:hAnsiTheme="minorBidi"/>
          <w:sz w:val="24"/>
          <w:szCs w:val="24"/>
        </w:rPr>
        <w:t xml:space="preserve">Amalia </w:t>
      </w:r>
      <w:proofErr w:type="spellStart"/>
      <w:r w:rsidRPr="00303C57">
        <w:rPr>
          <w:rFonts w:asciiTheme="minorBidi" w:hAnsiTheme="minorBidi"/>
          <w:sz w:val="24"/>
          <w:szCs w:val="24"/>
        </w:rPr>
        <w:t>Levanoni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, "The </w:t>
      </w:r>
      <w:proofErr w:type="spellStart"/>
      <w:r w:rsidRPr="00303C57">
        <w:rPr>
          <w:rFonts w:asciiTheme="minorBidi" w:hAnsiTheme="minorBidi"/>
          <w:sz w:val="24"/>
          <w:szCs w:val="24"/>
        </w:rPr>
        <w:t>Mamluks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 in Egypt and Syria," The New Cambridge History of Islam, vol. 2 (Cambridge, 2010), pp. 239-</w:t>
      </w:r>
      <w:r w:rsidR="0078075A" w:rsidRPr="00303C57">
        <w:rPr>
          <w:rFonts w:asciiTheme="minorBidi" w:hAnsiTheme="minorBidi"/>
          <w:sz w:val="24"/>
          <w:szCs w:val="24"/>
        </w:rPr>
        <w:t>248.</w:t>
      </w:r>
    </w:p>
    <w:p w:rsidR="000B5EE6" w:rsidRPr="00303C57" w:rsidRDefault="000B5EE6" w:rsidP="000B5EE6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</w:rPr>
        <w:t xml:space="preserve">R. Stephen </w:t>
      </w:r>
      <w:proofErr w:type="spellStart"/>
      <w:r w:rsidRPr="00303C57">
        <w:rPr>
          <w:rFonts w:asciiTheme="minorBidi" w:hAnsiTheme="minorBidi"/>
          <w:sz w:val="24"/>
          <w:szCs w:val="24"/>
        </w:rPr>
        <w:t>Hamphreys</w:t>
      </w:r>
      <w:proofErr w:type="spellEnd"/>
      <w:r w:rsidRPr="00303C57">
        <w:rPr>
          <w:rFonts w:asciiTheme="minorBidi" w:hAnsiTheme="minorBidi"/>
          <w:sz w:val="24"/>
          <w:szCs w:val="24"/>
        </w:rPr>
        <w:t>, "</w:t>
      </w:r>
      <w:proofErr w:type="spellStart"/>
      <w:r w:rsidRPr="00303C57">
        <w:rPr>
          <w:rFonts w:asciiTheme="minorBidi" w:hAnsiTheme="minorBidi"/>
          <w:sz w:val="24"/>
          <w:szCs w:val="24"/>
        </w:rPr>
        <w:t>Ayyubids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03C57">
        <w:rPr>
          <w:rFonts w:asciiTheme="minorBidi" w:hAnsiTheme="minorBidi"/>
          <w:sz w:val="24"/>
          <w:szCs w:val="24"/>
        </w:rPr>
        <w:t>Mamluks</w:t>
      </w:r>
      <w:proofErr w:type="spellEnd"/>
      <w:r w:rsidRPr="00303C57">
        <w:rPr>
          <w:rFonts w:asciiTheme="minorBidi" w:hAnsiTheme="minorBidi"/>
          <w:sz w:val="24"/>
          <w:szCs w:val="24"/>
        </w:rPr>
        <w:t xml:space="preserve"> and the Latin East in the Thirteenth Century," Mamluk Studies Review 2 (1998), pp. 1-17. </w:t>
      </w:r>
    </w:p>
    <w:p w:rsidR="00741EE2" w:rsidRPr="00303C57" w:rsidRDefault="0078075A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פראנקים, ממלוכים ומונגולים</w:t>
      </w:r>
    </w:p>
    <w:p w:rsidR="0078075A" w:rsidRPr="00303C57" w:rsidRDefault="0078075A" w:rsidP="0078075A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קריאה: יהושע פראוור, תולדות ממלכת הצלבנים בארץ-ישראל (ירושלים, 1963), כרך ב', עמ' 435-406.</w:t>
      </w:r>
    </w:p>
    <w:p w:rsidR="00C52A24" w:rsidRPr="00303C57" w:rsidRDefault="00C52A24" w:rsidP="00303C57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ראובן עמיתי-פרייס, "על שתי פשיטות מונגוליות לארץ ישראל," בתוך: ארץ ישראל בתקופה הממלוכית, עורך יוסף דרורי (ירושלים, 1992), עמ' 63-43.</w:t>
      </w:r>
    </w:p>
    <w:p w:rsidR="00BF4056" w:rsidRPr="00303C57" w:rsidRDefault="0078075A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קיצה של ממלכת ירושלים</w:t>
      </w:r>
    </w:p>
    <w:p w:rsidR="0078075A" w:rsidRPr="00303C57" w:rsidRDefault="0078075A" w:rsidP="000B5EE6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lastRenderedPageBreak/>
        <w:t>קריאה: יהושע פראוור, תולדות ממלכת הצלבנים בארץ-ישראל (ירושלים, 1963), כרך ב', עמ' 544-525.</w:t>
      </w:r>
      <w:r w:rsidRPr="00303C57">
        <w:rPr>
          <w:rFonts w:asciiTheme="minorBidi" w:hAnsiTheme="minorBidi"/>
          <w:sz w:val="24"/>
          <w:szCs w:val="24"/>
        </w:rPr>
        <w:t xml:space="preserve"> </w:t>
      </w:r>
    </w:p>
    <w:p w:rsidR="009C1CB0" w:rsidRPr="00303C57" w:rsidRDefault="009632A6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תקופת שלטונו של אנ-נאצר מוחמד</w:t>
      </w:r>
    </w:p>
    <w:p w:rsidR="009632A6" w:rsidRPr="00303C57" w:rsidRDefault="009632A6" w:rsidP="009632A6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 xml:space="preserve">קריאה: </w:t>
      </w:r>
      <w:r w:rsidRPr="00303C57">
        <w:rPr>
          <w:rFonts w:asciiTheme="minorBidi" w:hAnsiTheme="minorBidi"/>
          <w:sz w:val="24"/>
          <w:szCs w:val="24"/>
        </w:rPr>
        <w:t>P.M. Holt, The Age of the Crusades: The Near East from the Eleventh century to 1517 (London, 1986), pp. 107-120.</w:t>
      </w:r>
    </w:p>
    <w:p w:rsidR="00BF4056" w:rsidRPr="00303C57" w:rsidRDefault="009C1CB0" w:rsidP="00303C57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א</w:t>
      </w:r>
      <w:r w:rsidR="00244913" w:rsidRPr="00303C57">
        <w:rPr>
          <w:rFonts w:asciiTheme="minorBidi" w:hAnsiTheme="minorBidi"/>
          <w:sz w:val="24"/>
          <w:szCs w:val="24"/>
          <w:rtl/>
        </w:rPr>
        <w:t>י</w:t>
      </w:r>
      <w:r w:rsidRPr="00303C57">
        <w:rPr>
          <w:rFonts w:asciiTheme="minorBidi" w:hAnsiTheme="minorBidi"/>
          <w:sz w:val="24"/>
          <w:szCs w:val="24"/>
          <w:rtl/>
        </w:rPr>
        <w:t>סלומה של הארץ</w:t>
      </w:r>
    </w:p>
    <w:p w:rsidR="00244913" w:rsidRPr="00303C57" w:rsidRDefault="009632A6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קריאה:</w:t>
      </w:r>
      <w:r w:rsidR="00244913" w:rsidRPr="00303C57">
        <w:rPr>
          <w:rFonts w:asciiTheme="minorBidi" w:hAnsiTheme="minorBidi"/>
          <w:sz w:val="24"/>
          <w:szCs w:val="24"/>
          <w:rtl/>
        </w:rPr>
        <w:t xml:space="preserve"> </w:t>
      </w:r>
      <w:r w:rsidR="00244913" w:rsidRPr="00303C57">
        <w:rPr>
          <w:rFonts w:asciiTheme="minorBidi" w:hAnsiTheme="minorBidi"/>
          <w:sz w:val="24"/>
          <w:szCs w:val="24"/>
        </w:rPr>
        <w:t>Nimrod Luz, "Aspects of Islamization of Space and Society in Mamluk Jerusalem and its Hinterland," Mamluk Studies Review 6 (2002), pp. 133-154.</w:t>
      </w:r>
    </w:p>
    <w:p w:rsidR="009632A6" w:rsidRPr="00303C57" w:rsidRDefault="00712E51" w:rsidP="00303C57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תפרוסת יישובית ומפעלי בניה</w:t>
      </w:r>
    </w:p>
    <w:p w:rsidR="009632A6" w:rsidRPr="00303C57" w:rsidRDefault="0079376B" w:rsidP="009632A6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 xml:space="preserve">קריאה: </w:t>
      </w:r>
      <w:r w:rsidR="009632A6" w:rsidRPr="00303C57">
        <w:rPr>
          <w:rFonts w:asciiTheme="minorBidi" w:hAnsiTheme="minorBidi"/>
          <w:sz w:val="24"/>
          <w:szCs w:val="24"/>
          <w:rtl/>
        </w:rPr>
        <w:t>יהושע פרנקל, "החברה הכפרית בארץ ישראל בתקופה הממלוכית," קתדרה 77 (1995), עמ' 38-17.</w:t>
      </w:r>
    </w:p>
    <w:p w:rsidR="0079376B" w:rsidRPr="00303C57" w:rsidRDefault="0079376B" w:rsidP="0079376B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</w:rPr>
        <w:t>Yehoshua Frenkel, "Public Projection of Power in Mamluk Bilad al-Sham," Mamluk Studies Review 11.1 (2007), pp. 39-53.</w:t>
      </w:r>
    </w:p>
    <w:p w:rsidR="009632A6" w:rsidRPr="00303C57" w:rsidRDefault="009632A6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ירושלים בתקופה הממלוכית</w:t>
      </w:r>
    </w:p>
    <w:p w:rsidR="009632A6" w:rsidRPr="00303C57" w:rsidRDefault="009632A6" w:rsidP="009632A6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קריאה: יוסף דרורי, "ירושלים בתקופה הממלוכית," בתוך: פרקים בתולדות ירושלים בימי הביניים, עורכים ב"ז קדר וצבי ברס (ירושלים, 1979), עמ' 177-148.</w:t>
      </w:r>
    </w:p>
    <w:p w:rsidR="00B00BC0" w:rsidRPr="00303C57" w:rsidRDefault="00B00BC0" w:rsidP="00303C57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נוצרים תחת השלטון הממלוכי</w:t>
      </w:r>
    </w:p>
    <w:p w:rsidR="00B00BC0" w:rsidRPr="00303C57" w:rsidRDefault="00B00BC0" w:rsidP="00B00BC0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 xml:space="preserve">קריאה: </w:t>
      </w:r>
      <w:r w:rsidRPr="00303C57">
        <w:rPr>
          <w:rFonts w:asciiTheme="minorBidi" w:hAnsiTheme="minorBidi"/>
          <w:sz w:val="24"/>
          <w:szCs w:val="24"/>
        </w:rPr>
        <w:t xml:space="preserve">Johannes </w:t>
      </w:r>
      <w:proofErr w:type="spellStart"/>
      <w:r w:rsidRPr="00303C57">
        <w:rPr>
          <w:rFonts w:asciiTheme="minorBidi" w:hAnsiTheme="minorBidi"/>
          <w:sz w:val="24"/>
          <w:szCs w:val="24"/>
        </w:rPr>
        <w:t>Pahlitzsch</w:t>
      </w:r>
      <w:proofErr w:type="spellEnd"/>
      <w:r w:rsidRPr="00303C57">
        <w:rPr>
          <w:rFonts w:asciiTheme="minorBidi" w:hAnsiTheme="minorBidi"/>
          <w:sz w:val="24"/>
          <w:szCs w:val="24"/>
        </w:rPr>
        <w:t>, "Mediators between East and West: Christians under Mamluk Rule," Mamluk Studies Review 9.2 (2005), pp. 31-47.</w:t>
      </w:r>
    </w:p>
    <w:p w:rsidR="009C1CB0" w:rsidRPr="00303C57" w:rsidRDefault="0079376B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  <w:rtl/>
        </w:rPr>
        <w:t>יהודים תחת השלטון הממלוכי</w:t>
      </w:r>
    </w:p>
    <w:p w:rsidR="0079376B" w:rsidRPr="00303C57" w:rsidRDefault="0079376B" w:rsidP="0079376B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/>
          <w:sz w:val="24"/>
          <w:szCs w:val="24"/>
          <w:rtl/>
        </w:rPr>
        <w:t>קריאה: אברהם דוד, "ירושלים היהודית," בתוך: ספר ירושלים בתקופה הממלוכית (1517-1260), עורכים איוון פרידמן ויוסף דרורי (ירושלים, 2012), עמ' 364-325.</w:t>
      </w:r>
    </w:p>
    <w:p w:rsidR="00947E29" w:rsidRPr="00303C57" w:rsidRDefault="00947E29" w:rsidP="00303C5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 w:hint="cs"/>
          <w:sz w:val="24"/>
          <w:szCs w:val="24"/>
          <w:rtl/>
        </w:rPr>
        <w:t>נפילתה של הסולטנות</w:t>
      </w:r>
    </w:p>
    <w:p w:rsidR="00947E29" w:rsidRPr="00303C57" w:rsidRDefault="00947E29" w:rsidP="00947E29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 w:hint="cs"/>
          <w:sz w:val="24"/>
          <w:szCs w:val="24"/>
          <w:rtl/>
        </w:rPr>
        <w:t xml:space="preserve">קריאה: </w:t>
      </w:r>
      <w:r w:rsidR="00C45207" w:rsidRPr="00303C57">
        <w:rPr>
          <w:rFonts w:asciiTheme="minorBidi" w:hAnsiTheme="minorBidi"/>
          <w:sz w:val="24"/>
          <w:szCs w:val="24"/>
        </w:rPr>
        <w:t>P.M. Holt, The Age of the Crusades: The Near East from the Eleventh century to 1517 (London, 1986), pp. 178-202.</w:t>
      </w:r>
    </w:p>
    <w:p w:rsidR="00302AAD" w:rsidRPr="00303C57" w:rsidRDefault="00302AAD" w:rsidP="00947E29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דרישות קדם</w:t>
      </w:r>
      <w:r w:rsidRPr="00303C57">
        <w:rPr>
          <w:rFonts w:asciiTheme="minorBidi" w:hAnsiTheme="minorBidi" w:hint="cs"/>
          <w:sz w:val="24"/>
          <w:szCs w:val="24"/>
          <w:rtl/>
        </w:rPr>
        <w:t>: אין</w:t>
      </w:r>
    </w:p>
    <w:p w:rsidR="00302AAD" w:rsidRPr="00303C57" w:rsidRDefault="00302AAD" w:rsidP="00947E29">
      <w:pPr>
        <w:rPr>
          <w:rFonts w:asciiTheme="minorBidi" w:hAnsiTheme="minorBidi"/>
          <w:sz w:val="24"/>
          <w:szCs w:val="24"/>
          <w:rtl/>
        </w:rPr>
      </w:pPr>
    </w:p>
    <w:p w:rsidR="00D929EC" w:rsidRDefault="00BE789D" w:rsidP="00947E29">
      <w:pPr>
        <w:rPr>
          <w:rFonts w:asciiTheme="minorBidi" w:hAnsiTheme="minorBidi" w:hint="cs"/>
          <w:sz w:val="24"/>
          <w:szCs w:val="24"/>
          <w:rtl/>
        </w:rPr>
      </w:pPr>
      <w:r w:rsidRPr="00303C57">
        <w:rPr>
          <w:rFonts w:ascii="Arial" w:hAnsi="Arial" w:cs="Arial" w:hint="cs"/>
          <w:b/>
          <w:bCs/>
          <w:color w:val="0000FF"/>
          <w:sz w:val="26"/>
          <w:szCs w:val="26"/>
          <w:rtl/>
        </w:rPr>
        <w:t xml:space="preserve">חובות: </w:t>
      </w:r>
      <w:r w:rsidR="00302AAD" w:rsidRPr="00D929EC">
        <w:rPr>
          <w:rFonts w:asciiTheme="minorBidi" w:hAnsiTheme="minorBidi" w:hint="cs"/>
          <w:sz w:val="24"/>
          <w:szCs w:val="24"/>
          <w:rtl/>
        </w:rPr>
        <w:t>נוכחות</w:t>
      </w:r>
      <w:r w:rsidR="00302AAD" w:rsidRPr="00303C57">
        <w:rPr>
          <w:rFonts w:asciiTheme="minorBidi" w:hAnsiTheme="minorBidi" w:hint="cs"/>
          <w:sz w:val="24"/>
          <w:szCs w:val="24"/>
          <w:rtl/>
        </w:rPr>
        <w:t xml:space="preserve"> (</w:t>
      </w:r>
      <w:r w:rsidR="00D929EC">
        <w:rPr>
          <w:rFonts w:asciiTheme="minorBidi" w:hAnsiTheme="minorBidi" w:hint="cs"/>
          <w:sz w:val="24"/>
          <w:szCs w:val="24"/>
          <w:rtl/>
        </w:rPr>
        <w:t>לפחות ב  80% מהשיעורים)</w:t>
      </w:r>
      <w:bookmarkStart w:id="0" w:name="_GoBack"/>
      <w:bookmarkEnd w:id="0"/>
    </w:p>
    <w:p w:rsidR="00BE789D" w:rsidRPr="00303C57" w:rsidRDefault="00302AAD" w:rsidP="00947E29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Theme="minorBidi" w:hAnsiTheme="minorBidi" w:hint="cs"/>
          <w:sz w:val="24"/>
          <w:szCs w:val="24"/>
          <w:rtl/>
        </w:rPr>
        <w:t>ועמידה בבחינה</w:t>
      </w:r>
    </w:p>
    <w:p w:rsidR="00BE789D" w:rsidRPr="00303C57" w:rsidRDefault="00302AAD" w:rsidP="00EF3ECC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מרכיבי הציון</w:t>
      </w:r>
      <w:r w:rsidRPr="00303C57">
        <w:rPr>
          <w:rFonts w:asciiTheme="minorBidi" w:hAnsiTheme="minorBidi" w:hint="cs"/>
          <w:sz w:val="24"/>
          <w:szCs w:val="24"/>
          <w:rtl/>
        </w:rPr>
        <w:t>: ציון הבחינה</w:t>
      </w:r>
    </w:p>
    <w:p w:rsidR="00BE789D" w:rsidRPr="00303C57" w:rsidRDefault="00C22F47" w:rsidP="00C22F47">
      <w:pPr>
        <w:rPr>
          <w:rFonts w:asciiTheme="minorBidi" w:hAnsiTheme="minorBidi"/>
          <w:sz w:val="24"/>
          <w:szCs w:val="24"/>
          <w:rtl/>
        </w:rPr>
      </w:pPr>
      <w:r w:rsidRPr="00303C57">
        <w:rPr>
          <w:rFonts w:ascii="Arial" w:hAnsi="Arial" w:cs="Arial" w:hint="cs"/>
          <w:b/>
          <w:bCs/>
          <w:color w:val="0000FF"/>
          <w:sz w:val="26"/>
          <w:szCs w:val="26"/>
          <w:rtl/>
        </w:rPr>
        <w:lastRenderedPageBreak/>
        <w:t>ביבליוגרפיה</w:t>
      </w:r>
      <w:r w:rsidR="00BE789D" w:rsidRPr="00303C57">
        <w:rPr>
          <w:rFonts w:ascii="Arial" w:hAnsi="Arial" w:cs="Arial" w:hint="cs"/>
          <w:b/>
          <w:bCs/>
          <w:color w:val="0000FF"/>
          <w:sz w:val="26"/>
          <w:szCs w:val="26"/>
          <w:rtl/>
        </w:rPr>
        <w:t>:</w:t>
      </w:r>
      <w:r w:rsidR="00302AAD" w:rsidRPr="00303C57">
        <w:rPr>
          <w:rFonts w:asciiTheme="minorBidi" w:hAnsiTheme="minorBidi" w:hint="cs"/>
          <w:sz w:val="24"/>
          <w:szCs w:val="24"/>
          <w:rtl/>
        </w:rPr>
        <w:t xml:space="preserve"> </w:t>
      </w:r>
      <w:r w:rsidRPr="00303C57">
        <w:rPr>
          <w:rFonts w:asciiTheme="minorBidi" w:hAnsiTheme="minorBidi" w:hint="cs"/>
          <w:sz w:val="24"/>
          <w:szCs w:val="24"/>
          <w:rtl/>
        </w:rPr>
        <w:t>כאמור ברשימת הנושאים</w:t>
      </w:r>
      <w:r w:rsidR="000C1B2E" w:rsidRPr="00303C57">
        <w:rPr>
          <w:rFonts w:asciiTheme="minorBidi" w:hAnsiTheme="minorBidi" w:hint="cs"/>
          <w:sz w:val="24"/>
          <w:szCs w:val="24"/>
          <w:rtl/>
        </w:rPr>
        <w:t>.</w:t>
      </w:r>
    </w:p>
    <w:p w:rsidR="00C22F47" w:rsidRPr="00303C57" w:rsidRDefault="00303C57" w:rsidP="00C22F47">
      <w:pPr>
        <w:rPr>
          <w:rFonts w:ascii="Arial" w:hAnsi="Arial" w:cs="Arial"/>
          <w:b/>
          <w:bCs/>
          <w:color w:val="0000FF"/>
          <w:sz w:val="26"/>
          <w:szCs w:val="26"/>
          <w:rtl/>
        </w:rPr>
      </w:pPr>
      <w:r>
        <w:rPr>
          <w:rFonts w:ascii="Arial" w:hAnsi="Arial" w:cs="Arial" w:hint="cs"/>
          <w:b/>
          <w:bCs/>
          <w:color w:val="0000FF"/>
          <w:sz w:val="26"/>
          <w:szCs w:val="26"/>
          <w:rtl/>
        </w:rPr>
        <w:t>שם הקורס</w:t>
      </w:r>
      <w:r w:rsidR="00C22F47" w:rsidRPr="00303C57">
        <w:rPr>
          <w:rFonts w:ascii="Arial" w:hAnsi="Arial" w:cs="Arial" w:hint="cs"/>
          <w:b/>
          <w:bCs/>
          <w:color w:val="0000FF"/>
          <w:sz w:val="26"/>
          <w:szCs w:val="26"/>
          <w:rtl/>
        </w:rPr>
        <w:t xml:space="preserve"> אנגלית:</w:t>
      </w:r>
    </w:p>
    <w:p w:rsidR="00C22F47" w:rsidRPr="00303C57" w:rsidRDefault="00C22F47" w:rsidP="00C22F47">
      <w:pPr>
        <w:rPr>
          <w:rFonts w:asciiTheme="minorBidi" w:hAnsiTheme="minorBidi"/>
          <w:sz w:val="24"/>
          <w:szCs w:val="24"/>
        </w:rPr>
      </w:pPr>
      <w:r w:rsidRPr="00303C57">
        <w:rPr>
          <w:rFonts w:asciiTheme="minorBidi" w:hAnsiTheme="minorBidi"/>
          <w:sz w:val="24"/>
          <w:szCs w:val="24"/>
        </w:rPr>
        <w:t>Between Muslims, Christians and Jews: The Holy Land between the First Crusade and the Ottoman Conquest</w:t>
      </w:r>
    </w:p>
    <w:sectPr w:rsidR="00C22F47" w:rsidRPr="00303C57" w:rsidSect="00804A6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44B5"/>
    <w:multiLevelType w:val="hybridMultilevel"/>
    <w:tmpl w:val="0C2AEE74"/>
    <w:lvl w:ilvl="0" w:tplc="6856199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3F06"/>
    <w:multiLevelType w:val="hybridMultilevel"/>
    <w:tmpl w:val="8D70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886"/>
    <w:rsid w:val="00005785"/>
    <w:rsid w:val="00032E84"/>
    <w:rsid w:val="000558E4"/>
    <w:rsid w:val="00061E2B"/>
    <w:rsid w:val="00092805"/>
    <w:rsid w:val="000B5EE6"/>
    <w:rsid w:val="000C1B2E"/>
    <w:rsid w:val="00124C24"/>
    <w:rsid w:val="001E4AD4"/>
    <w:rsid w:val="00244913"/>
    <w:rsid w:val="002F781B"/>
    <w:rsid w:val="00302AAD"/>
    <w:rsid w:val="00303C57"/>
    <w:rsid w:val="00332886"/>
    <w:rsid w:val="00371870"/>
    <w:rsid w:val="003C3703"/>
    <w:rsid w:val="00416D00"/>
    <w:rsid w:val="0044619C"/>
    <w:rsid w:val="004920C4"/>
    <w:rsid w:val="004F5A3A"/>
    <w:rsid w:val="005442F3"/>
    <w:rsid w:val="00552741"/>
    <w:rsid w:val="005B4770"/>
    <w:rsid w:val="005C2445"/>
    <w:rsid w:val="005C36E6"/>
    <w:rsid w:val="00614A24"/>
    <w:rsid w:val="006A7CFF"/>
    <w:rsid w:val="00712E51"/>
    <w:rsid w:val="00736594"/>
    <w:rsid w:val="00740AF8"/>
    <w:rsid w:val="00741EE2"/>
    <w:rsid w:val="0078075A"/>
    <w:rsid w:val="0079376B"/>
    <w:rsid w:val="007A15F5"/>
    <w:rsid w:val="007B46A9"/>
    <w:rsid w:val="00804A61"/>
    <w:rsid w:val="008463C3"/>
    <w:rsid w:val="0086304D"/>
    <w:rsid w:val="008703FD"/>
    <w:rsid w:val="008E063E"/>
    <w:rsid w:val="00947E29"/>
    <w:rsid w:val="009632A6"/>
    <w:rsid w:val="009C1CB0"/>
    <w:rsid w:val="00A03E6A"/>
    <w:rsid w:val="00A77134"/>
    <w:rsid w:val="00A77824"/>
    <w:rsid w:val="00A92F65"/>
    <w:rsid w:val="00B00BC0"/>
    <w:rsid w:val="00B1458F"/>
    <w:rsid w:val="00B22661"/>
    <w:rsid w:val="00B276B0"/>
    <w:rsid w:val="00B66F34"/>
    <w:rsid w:val="00BE789D"/>
    <w:rsid w:val="00BF4056"/>
    <w:rsid w:val="00C10BE7"/>
    <w:rsid w:val="00C22F47"/>
    <w:rsid w:val="00C45207"/>
    <w:rsid w:val="00C4682E"/>
    <w:rsid w:val="00C52A24"/>
    <w:rsid w:val="00C63F2B"/>
    <w:rsid w:val="00CD3720"/>
    <w:rsid w:val="00D14C89"/>
    <w:rsid w:val="00D929EC"/>
    <w:rsid w:val="00DE2162"/>
    <w:rsid w:val="00DF4A36"/>
    <w:rsid w:val="00E2105D"/>
    <w:rsid w:val="00E2162D"/>
    <w:rsid w:val="00E901C1"/>
    <w:rsid w:val="00EB6697"/>
    <w:rsid w:val="00EF3ECC"/>
    <w:rsid w:val="00F1698D"/>
    <w:rsid w:val="00F96F59"/>
    <w:rsid w:val="00FB3002"/>
    <w:rsid w:val="00FC78E9"/>
    <w:rsid w:val="00FD011E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E8558-46C2-42D1-BFFE-7E331762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3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E216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02DF-8FCA-463F-93CB-71DDBDDF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994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Israel Dept</cp:lastModifiedBy>
  <cp:revision>42</cp:revision>
  <dcterms:created xsi:type="dcterms:W3CDTF">2015-05-26T09:16:00Z</dcterms:created>
  <dcterms:modified xsi:type="dcterms:W3CDTF">2019-04-18T07:02:00Z</dcterms:modified>
</cp:coreProperties>
</file>