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FD" w:rsidRPr="005F4383" w:rsidRDefault="008703FD">
      <w:pPr>
        <w:rPr>
          <w:rFonts w:asciiTheme="majorBidi" w:hAnsiTheme="majorBidi" w:cstheme="majorBidi"/>
          <w:sz w:val="24"/>
          <w:szCs w:val="24"/>
          <w:rtl/>
        </w:rPr>
      </w:pPr>
    </w:p>
    <w:p w:rsidR="00332886" w:rsidRPr="005F4383" w:rsidRDefault="00332886" w:rsidP="002F781B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5F438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בין מוסלמים, נוצרים ויהודים: ארץ ישראל מהכיבוש הצלבני ועד הכיבוש העות'מאני</w:t>
      </w:r>
      <w:r w:rsidR="00C10BE7" w:rsidRPr="005F438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</w:t>
      </w:r>
    </w:p>
    <w:p w:rsidR="005F4383" w:rsidRPr="005F4383" w:rsidRDefault="005F4383" w:rsidP="005F4383">
      <w:pPr>
        <w:jc w:val="center"/>
        <w:rPr>
          <w:b/>
          <w:bCs/>
          <w:sz w:val="24"/>
          <w:szCs w:val="24"/>
        </w:rPr>
      </w:pPr>
      <w:r w:rsidRPr="005F4383">
        <w:rPr>
          <w:b/>
          <w:bCs/>
          <w:sz w:val="24"/>
          <w:szCs w:val="24"/>
          <w:rtl/>
        </w:rPr>
        <w:t>מרצה הקורס: ד"ר יונתן רובין</w:t>
      </w:r>
    </w:p>
    <w:p w:rsidR="005F4383" w:rsidRPr="005F4383" w:rsidRDefault="005F4383" w:rsidP="00B7181D">
      <w:pPr>
        <w:jc w:val="center"/>
        <w:rPr>
          <w:b/>
          <w:bCs/>
          <w:sz w:val="24"/>
          <w:szCs w:val="24"/>
          <w:rtl/>
        </w:rPr>
      </w:pPr>
      <w:r w:rsidRPr="005F4383">
        <w:rPr>
          <w:b/>
          <w:bCs/>
          <w:sz w:val="24"/>
          <w:szCs w:val="24"/>
          <w:rtl/>
        </w:rPr>
        <w:t xml:space="preserve">קורס מס: </w:t>
      </w:r>
      <w:r w:rsidRPr="005F4383">
        <w:rPr>
          <w:rFonts w:hint="cs"/>
          <w:b/>
          <w:bCs/>
          <w:sz w:val="24"/>
          <w:szCs w:val="24"/>
          <w:rtl/>
        </w:rPr>
        <w:t>16-312-01</w:t>
      </w:r>
    </w:p>
    <w:p w:rsidR="005F4383" w:rsidRPr="005F4383" w:rsidRDefault="00B7181D" w:rsidP="00B7181D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שנה: תשע"ט 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 w:rsidR="005F4383" w:rsidRPr="005F4383">
        <w:rPr>
          <w:b/>
          <w:bCs/>
          <w:sz w:val="24"/>
          <w:szCs w:val="24"/>
          <w:rtl/>
        </w:rPr>
        <w:t>סמסטר</w:t>
      </w:r>
      <w:r>
        <w:rPr>
          <w:rFonts w:hint="cs"/>
          <w:b/>
          <w:bCs/>
          <w:sz w:val="24"/>
          <w:szCs w:val="24"/>
          <w:rtl/>
        </w:rPr>
        <w:t>: שנתי</w:t>
      </w:r>
      <w:r w:rsidR="006322F9">
        <w:rPr>
          <w:rFonts w:hint="cs"/>
          <w:b/>
          <w:bCs/>
          <w:sz w:val="24"/>
          <w:szCs w:val="24"/>
          <w:rtl/>
        </w:rPr>
        <w:t>, 2 ש"ש</w:t>
      </w:r>
      <w:r>
        <w:rPr>
          <w:rFonts w:hint="cs"/>
          <w:b/>
          <w:bCs/>
          <w:sz w:val="24"/>
          <w:szCs w:val="24"/>
          <w:rtl/>
        </w:rPr>
        <w:t xml:space="preserve">           </w:t>
      </w:r>
      <w:r w:rsidR="006322F9">
        <w:rPr>
          <w:rFonts w:hint="cs"/>
          <w:b/>
          <w:bCs/>
          <w:sz w:val="24"/>
          <w:szCs w:val="24"/>
          <w:rtl/>
        </w:rPr>
        <w:t xml:space="preserve">          </w:t>
      </w:r>
      <w:bookmarkStart w:id="0" w:name="_GoBack"/>
      <w:bookmarkEnd w:id="0"/>
      <w:r w:rsidR="005F4383" w:rsidRPr="005F4383">
        <w:rPr>
          <w:b/>
          <w:bCs/>
          <w:sz w:val="24"/>
          <w:szCs w:val="24"/>
          <w:rtl/>
        </w:rPr>
        <w:t>סוג שיעור: הרצאה</w:t>
      </w:r>
    </w:p>
    <w:p w:rsidR="005F4383" w:rsidRPr="005F4383" w:rsidRDefault="005F4383" w:rsidP="002F781B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A77824" w:rsidRPr="005F4383" w:rsidRDefault="00A77824" w:rsidP="00A77824">
      <w:pPr>
        <w:jc w:val="center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5F4383">
        <w:rPr>
          <w:rFonts w:asciiTheme="majorBidi" w:hAnsiTheme="majorBidi" w:cstheme="majorBidi" w:hint="cs"/>
          <w:sz w:val="24"/>
          <w:szCs w:val="24"/>
          <w:u w:val="single"/>
          <w:rtl/>
        </w:rPr>
        <w:t>מבוא לתקופת ימי הביניים</w:t>
      </w:r>
    </w:p>
    <w:p w:rsidR="00332886" w:rsidRPr="005F4383" w:rsidRDefault="00CD3720" w:rsidP="00F91E7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 w:hint="cs"/>
          <w:sz w:val="24"/>
          <w:szCs w:val="24"/>
          <w:rtl/>
        </w:rPr>
        <w:t>מטרות הקורס:</w:t>
      </w:r>
    </w:p>
    <w:p w:rsidR="00947E29" w:rsidRPr="005F4383" w:rsidRDefault="00BE789D" w:rsidP="00F91E7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 w:hint="cs"/>
          <w:sz w:val="24"/>
          <w:szCs w:val="24"/>
          <w:rtl/>
        </w:rPr>
        <w:t xml:space="preserve">יצירת </w:t>
      </w:r>
      <w:r w:rsidR="00614A24" w:rsidRPr="005F4383">
        <w:rPr>
          <w:rFonts w:asciiTheme="majorBidi" w:hAnsiTheme="majorBidi" w:cstheme="majorBidi" w:hint="cs"/>
          <w:sz w:val="24"/>
          <w:szCs w:val="24"/>
          <w:rtl/>
        </w:rPr>
        <w:t xml:space="preserve">היכרות עם </w:t>
      </w:r>
      <w:r w:rsidR="00CD3720" w:rsidRPr="005F4383">
        <w:rPr>
          <w:rFonts w:asciiTheme="majorBidi" w:hAnsiTheme="majorBidi" w:cstheme="majorBidi" w:hint="cs"/>
          <w:sz w:val="24"/>
          <w:szCs w:val="24"/>
          <w:rtl/>
        </w:rPr>
        <w:t xml:space="preserve">תולדותיה של הארץ </w:t>
      </w:r>
      <w:r w:rsidR="00947E29" w:rsidRPr="005F4383">
        <w:rPr>
          <w:rFonts w:asciiTheme="majorBidi" w:hAnsiTheme="majorBidi" w:cstheme="majorBidi" w:hint="cs"/>
          <w:sz w:val="24"/>
          <w:szCs w:val="24"/>
          <w:rtl/>
        </w:rPr>
        <w:t>בימי הביניים המרכזיים והמאוחרים</w:t>
      </w:r>
      <w:r w:rsidRPr="005F4383">
        <w:rPr>
          <w:rFonts w:asciiTheme="majorBidi" w:hAnsiTheme="majorBidi" w:cstheme="majorBidi" w:hint="cs"/>
          <w:sz w:val="24"/>
          <w:szCs w:val="24"/>
          <w:rtl/>
        </w:rPr>
        <w:t>,</w:t>
      </w:r>
      <w:r w:rsidR="00947E29" w:rsidRPr="005F4383">
        <w:rPr>
          <w:rFonts w:asciiTheme="majorBidi" w:hAnsiTheme="majorBidi" w:cstheme="majorBidi" w:hint="cs"/>
          <w:sz w:val="24"/>
          <w:szCs w:val="24"/>
          <w:rtl/>
        </w:rPr>
        <w:t xml:space="preserve"> ועם השאלות העיקריות שעמן מתמודדים היסטוריונים בעבודתם על תקופות אלה; הכרת התרבויות השונות שלקחו חלק בעיצובה של הארץ בתקופה הנדונה; פיתוחה של יכולת לבצע ניתוח היסטורי מורכב ורגיש </w:t>
      </w:r>
      <w:r w:rsidR="00614A24" w:rsidRPr="005F4383">
        <w:rPr>
          <w:rFonts w:asciiTheme="majorBidi" w:hAnsiTheme="majorBidi" w:cstheme="majorBidi" w:hint="cs"/>
          <w:sz w:val="24"/>
          <w:szCs w:val="24"/>
          <w:rtl/>
        </w:rPr>
        <w:t>תוך התייחסות למשת</w:t>
      </w:r>
      <w:r w:rsidR="00C45207" w:rsidRPr="005F4383">
        <w:rPr>
          <w:rFonts w:asciiTheme="majorBidi" w:hAnsiTheme="majorBidi" w:cstheme="majorBidi" w:hint="cs"/>
          <w:sz w:val="24"/>
          <w:szCs w:val="24"/>
          <w:rtl/>
        </w:rPr>
        <w:t>נים</w:t>
      </w:r>
      <w:r w:rsidR="00947E29" w:rsidRPr="005F4383">
        <w:rPr>
          <w:rFonts w:asciiTheme="majorBidi" w:hAnsiTheme="majorBidi" w:cstheme="majorBidi" w:hint="cs"/>
          <w:sz w:val="24"/>
          <w:szCs w:val="24"/>
          <w:rtl/>
        </w:rPr>
        <w:t xml:space="preserve"> חברתיים, תרבותיים, פוליטיים, כלכליים וצבאיים.</w:t>
      </w:r>
    </w:p>
    <w:p w:rsidR="00947E29" w:rsidRPr="005F4383" w:rsidRDefault="00947E29" w:rsidP="00F91E7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 w:hint="cs"/>
          <w:sz w:val="24"/>
          <w:szCs w:val="24"/>
          <w:rtl/>
        </w:rPr>
        <w:t>רציונל:</w:t>
      </w:r>
    </w:p>
    <w:p w:rsidR="00947E29" w:rsidRPr="005F4383" w:rsidRDefault="00C45207" w:rsidP="00F91E7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 w:hint="cs"/>
          <w:sz w:val="24"/>
          <w:szCs w:val="24"/>
          <w:rtl/>
        </w:rPr>
        <w:t xml:space="preserve">מכיבושה </w:t>
      </w:r>
      <w:r w:rsidR="00947E29" w:rsidRPr="005F4383">
        <w:rPr>
          <w:rFonts w:asciiTheme="majorBidi" w:hAnsiTheme="majorBidi" w:cstheme="majorBidi" w:hint="cs"/>
          <w:sz w:val="24"/>
          <w:szCs w:val="24"/>
          <w:rtl/>
        </w:rPr>
        <w:t>בידי הצלבנים בשנת 1099 ועד לכיבושה בידי העות</w:t>
      </w:r>
      <w:r w:rsidRPr="005F4383">
        <w:rPr>
          <w:rFonts w:asciiTheme="majorBidi" w:hAnsiTheme="majorBidi" w:cstheme="majorBidi" w:hint="cs"/>
          <w:sz w:val="24"/>
          <w:szCs w:val="24"/>
          <w:rtl/>
        </w:rPr>
        <w:t>'</w:t>
      </w:r>
      <w:r w:rsidR="00947E29" w:rsidRPr="005F4383">
        <w:rPr>
          <w:rFonts w:asciiTheme="majorBidi" w:hAnsiTheme="majorBidi" w:cstheme="majorBidi" w:hint="cs"/>
          <w:sz w:val="24"/>
          <w:szCs w:val="24"/>
          <w:rtl/>
        </w:rPr>
        <w:t>מאנים בשנת 1517</w:t>
      </w:r>
      <w:r w:rsidRPr="005F4383">
        <w:rPr>
          <w:rFonts w:asciiTheme="majorBidi" w:hAnsiTheme="majorBidi" w:cstheme="majorBidi" w:hint="cs"/>
          <w:sz w:val="24"/>
          <w:szCs w:val="24"/>
          <w:rtl/>
        </w:rPr>
        <w:t xml:space="preserve"> הייתה הארץ זירת פעילותם של כוחות שונים ומגוונים. אלה התיישבו בה, ולעיתים קרובות נאבקו זה בזה בתחומי הארץ וסביבה, אך</w:t>
      </w:r>
      <w:r w:rsidR="00614A24" w:rsidRPr="005F4383">
        <w:rPr>
          <w:rFonts w:asciiTheme="majorBidi" w:hAnsiTheme="majorBidi" w:cstheme="majorBidi" w:hint="cs"/>
          <w:sz w:val="24"/>
          <w:szCs w:val="24"/>
          <w:rtl/>
        </w:rPr>
        <w:t xml:space="preserve"> גם </w:t>
      </w:r>
      <w:r w:rsidRPr="005F4383">
        <w:rPr>
          <w:rFonts w:asciiTheme="majorBidi" w:hAnsiTheme="majorBidi" w:cstheme="majorBidi" w:hint="cs"/>
          <w:sz w:val="24"/>
          <w:szCs w:val="24"/>
          <w:rtl/>
        </w:rPr>
        <w:t>הושפעו</w:t>
      </w:r>
      <w:r w:rsidR="00614A24" w:rsidRPr="005F4383">
        <w:rPr>
          <w:rFonts w:asciiTheme="majorBidi" w:hAnsiTheme="majorBidi" w:cstheme="majorBidi" w:hint="cs"/>
          <w:sz w:val="24"/>
          <w:szCs w:val="24"/>
          <w:rtl/>
        </w:rPr>
        <w:t xml:space="preserve"> האחד מרעהו ולעיתים אף שיתפו פעולה. </w:t>
      </w:r>
      <w:r w:rsidRPr="005F4383">
        <w:rPr>
          <w:rFonts w:asciiTheme="majorBidi" w:hAnsiTheme="majorBidi" w:cstheme="majorBidi" w:hint="cs"/>
          <w:sz w:val="24"/>
          <w:szCs w:val="24"/>
          <w:rtl/>
        </w:rPr>
        <w:t>כל אחת</w:t>
      </w:r>
      <w:r w:rsidR="00614A24" w:rsidRPr="005F4383">
        <w:rPr>
          <w:rFonts w:asciiTheme="majorBidi" w:hAnsiTheme="majorBidi" w:cstheme="majorBidi" w:hint="cs"/>
          <w:sz w:val="24"/>
          <w:szCs w:val="24"/>
          <w:rtl/>
        </w:rPr>
        <w:t xml:space="preserve"> מהקבוצות שפעלו במרחב הזה הותירה בו חותם הניכר בו עד היום</w:t>
      </w:r>
      <w:r w:rsidRPr="005F4383">
        <w:rPr>
          <w:rFonts w:asciiTheme="majorBidi" w:hAnsiTheme="majorBidi" w:cstheme="majorBidi" w:hint="cs"/>
          <w:sz w:val="24"/>
          <w:szCs w:val="24"/>
          <w:rtl/>
        </w:rPr>
        <w:t>. הקורס יאפשר לתלמיד</w:t>
      </w:r>
      <w:r w:rsidR="00614A24" w:rsidRPr="005F4383">
        <w:rPr>
          <w:rFonts w:asciiTheme="majorBidi" w:hAnsiTheme="majorBidi" w:cstheme="majorBidi" w:hint="cs"/>
          <w:sz w:val="24"/>
          <w:szCs w:val="24"/>
          <w:rtl/>
        </w:rPr>
        <w:t>ים להתמצא בכוחות השונים שפעלו בארץ</w:t>
      </w:r>
      <w:r w:rsidRPr="005F4383">
        <w:rPr>
          <w:rFonts w:asciiTheme="majorBidi" w:hAnsiTheme="majorBidi" w:cstheme="majorBidi" w:hint="cs"/>
          <w:sz w:val="24"/>
          <w:szCs w:val="24"/>
          <w:rtl/>
        </w:rPr>
        <w:t>, ביחסים המורכבים ביניהם ובחותם שהשאירו ב</w:t>
      </w:r>
      <w:r w:rsidR="00614A24" w:rsidRPr="005F4383">
        <w:rPr>
          <w:rFonts w:asciiTheme="majorBidi" w:hAnsiTheme="majorBidi" w:cstheme="majorBidi" w:hint="cs"/>
          <w:sz w:val="24"/>
          <w:szCs w:val="24"/>
          <w:rtl/>
        </w:rPr>
        <w:t>ה</w:t>
      </w:r>
      <w:r w:rsidRPr="005F4383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092805" w:rsidRPr="005F4383" w:rsidRDefault="00947E29" w:rsidP="00F91E7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BF4056" w:rsidRPr="005F4383" w:rsidRDefault="00092805" w:rsidP="00F91E7D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5F438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נושאים וחומרים לקריאה ולדיון</w:t>
      </w:r>
    </w:p>
    <w:p w:rsidR="00BF4056" w:rsidRPr="005F4383" w:rsidRDefault="00BF4056" w:rsidP="00F91E7D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>רקע למסע הצלב הראשון: אירופה</w:t>
      </w:r>
      <w:r w:rsidR="00740AF8" w:rsidRPr="005F4383">
        <w:rPr>
          <w:rFonts w:asciiTheme="majorBidi" w:hAnsiTheme="majorBidi" w:cstheme="majorBidi"/>
          <w:sz w:val="24"/>
          <w:szCs w:val="24"/>
          <w:rtl/>
        </w:rPr>
        <w:t xml:space="preserve"> בשלהי המאה האחת-עשרה</w:t>
      </w:r>
    </w:p>
    <w:p w:rsidR="00740AF8" w:rsidRPr="005F4383" w:rsidRDefault="00005785" w:rsidP="00F91E7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 xml:space="preserve">קריאה: </w:t>
      </w:r>
      <w:r w:rsidR="00740AF8" w:rsidRPr="005F4383">
        <w:rPr>
          <w:rFonts w:asciiTheme="majorBidi" w:hAnsiTheme="majorBidi" w:cstheme="majorBidi"/>
          <w:sz w:val="24"/>
          <w:szCs w:val="24"/>
          <w:rtl/>
        </w:rPr>
        <w:t xml:space="preserve">איריס שגריר, </w:t>
      </w:r>
      <w:r w:rsidR="00740AF8" w:rsidRPr="005F4383">
        <w:rPr>
          <w:rFonts w:asciiTheme="majorBidi" w:hAnsiTheme="majorBidi" w:cstheme="majorBidi"/>
          <w:sz w:val="24"/>
          <w:szCs w:val="24"/>
          <w:u w:val="single"/>
          <w:rtl/>
        </w:rPr>
        <w:t>מסעי הצלב: היסטוריה והיסטוריוגרפיה</w:t>
      </w:r>
      <w:r w:rsidR="00740AF8" w:rsidRPr="005F4383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Pr="005F4383">
        <w:rPr>
          <w:rFonts w:asciiTheme="majorBidi" w:hAnsiTheme="majorBidi" w:cstheme="majorBidi"/>
          <w:sz w:val="24"/>
          <w:szCs w:val="24"/>
          <w:rtl/>
        </w:rPr>
        <w:t>רעננה, 2014), עמ' 47-23</w:t>
      </w:r>
      <w:r w:rsidR="00740AF8" w:rsidRPr="005F4383">
        <w:rPr>
          <w:rFonts w:asciiTheme="majorBidi" w:hAnsiTheme="majorBidi" w:cstheme="majorBidi"/>
          <w:sz w:val="24"/>
          <w:szCs w:val="24"/>
          <w:rtl/>
        </w:rPr>
        <w:t>.</w:t>
      </w:r>
    </w:p>
    <w:p w:rsidR="00BF4056" w:rsidRPr="005F4383" w:rsidRDefault="00BF4056" w:rsidP="00F91E7D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>רקע למסע הצלב הראשון: מזרח הים התיכון</w:t>
      </w:r>
    </w:p>
    <w:p w:rsidR="008E063E" w:rsidRPr="005F4383" w:rsidRDefault="00005785" w:rsidP="00F91E7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 xml:space="preserve">קריאה: איריס שגריר, מסעי הצלב: </w:t>
      </w:r>
      <w:r w:rsidRPr="005F4383">
        <w:rPr>
          <w:rFonts w:asciiTheme="majorBidi" w:hAnsiTheme="majorBidi" w:cstheme="majorBidi"/>
          <w:sz w:val="24"/>
          <w:szCs w:val="24"/>
          <w:u w:val="single"/>
          <w:rtl/>
        </w:rPr>
        <w:t>היסטוריה והיסטוריוגרפיה</w:t>
      </w:r>
      <w:r w:rsidRPr="005F4383">
        <w:rPr>
          <w:rFonts w:asciiTheme="majorBidi" w:hAnsiTheme="majorBidi" w:cstheme="majorBidi"/>
          <w:sz w:val="24"/>
          <w:szCs w:val="24"/>
          <w:rtl/>
        </w:rPr>
        <w:t xml:space="preserve"> (רעננה, 2014), עמ' 57-47.</w:t>
      </w:r>
    </w:p>
    <w:p w:rsidR="008E063E" w:rsidRPr="005F4383" w:rsidRDefault="008E063E" w:rsidP="00F91E7D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>מסע הצלב הראשון ו</w:t>
      </w:r>
      <w:r w:rsidR="00FD0E41" w:rsidRPr="005F4383">
        <w:rPr>
          <w:rFonts w:asciiTheme="majorBidi" w:hAnsiTheme="majorBidi" w:cstheme="majorBidi"/>
          <w:sz w:val="24"/>
          <w:szCs w:val="24"/>
          <w:rtl/>
        </w:rPr>
        <w:t>כיבושה של ירושלים</w:t>
      </w:r>
    </w:p>
    <w:p w:rsidR="008E063E" w:rsidRPr="005F4383" w:rsidRDefault="00C4682E" w:rsidP="00F91E7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>קריאה: יהושע פראוור</w:t>
      </w:r>
      <w:r w:rsidR="00D14C89" w:rsidRPr="005F4383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D14C89" w:rsidRPr="005F4383">
        <w:rPr>
          <w:rFonts w:asciiTheme="majorBidi" w:hAnsiTheme="majorBidi" w:cstheme="majorBidi"/>
          <w:sz w:val="24"/>
          <w:szCs w:val="24"/>
          <w:u w:val="single"/>
          <w:rtl/>
        </w:rPr>
        <w:t>תולדות ממלכת הצלבנים בארץ-ישראל</w:t>
      </w:r>
      <w:r w:rsidR="00D14C89" w:rsidRPr="005F4383">
        <w:rPr>
          <w:rFonts w:asciiTheme="majorBidi" w:hAnsiTheme="majorBidi" w:cstheme="majorBidi"/>
          <w:sz w:val="24"/>
          <w:szCs w:val="24"/>
          <w:rtl/>
        </w:rPr>
        <w:t xml:space="preserve"> (ירושלים, 1963), </w:t>
      </w:r>
      <w:r w:rsidR="00736594" w:rsidRPr="005F4383">
        <w:rPr>
          <w:rFonts w:asciiTheme="majorBidi" w:hAnsiTheme="majorBidi" w:cstheme="majorBidi"/>
          <w:sz w:val="24"/>
          <w:szCs w:val="24"/>
          <w:rtl/>
        </w:rPr>
        <w:t xml:space="preserve">כרך א', </w:t>
      </w:r>
      <w:r w:rsidR="00D14C89" w:rsidRPr="005F4383">
        <w:rPr>
          <w:rFonts w:asciiTheme="majorBidi" w:hAnsiTheme="majorBidi" w:cstheme="majorBidi"/>
          <w:sz w:val="24"/>
          <w:szCs w:val="24"/>
          <w:rtl/>
        </w:rPr>
        <w:t>עמ' 133-91.</w:t>
      </w:r>
    </w:p>
    <w:p w:rsidR="008E063E" w:rsidRPr="005F4383" w:rsidRDefault="00A77134" w:rsidP="00F91E7D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>קבוצות האוכלוסייה והיחסים ביניהן</w:t>
      </w:r>
    </w:p>
    <w:p w:rsidR="00736594" w:rsidRPr="005F4383" w:rsidRDefault="00736594" w:rsidP="00F91E7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 xml:space="preserve">איריס שגריר, </w:t>
      </w:r>
      <w:r w:rsidRPr="005F4383">
        <w:rPr>
          <w:rFonts w:asciiTheme="majorBidi" w:hAnsiTheme="majorBidi" w:cstheme="majorBidi"/>
          <w:sz w:val="24"/>
          <w:szCs w:val="24"/>
          <w:u w:val="single"/>
          <w:rtl/>
        </w:rPr>
        <w:t>מסעי הצלב: היסטוריה והיסטוריוגרפיה</w:t>
      </w:r>
      <w:r w:rsidRPr="005F4383">
        <w:rPr>
          <w:rFonts w:asciiTheme="majorBidi" w:hAnsiTheme="majorBidi" w:cstheme="majorBidi"/>
          <w:sz w:val="24"/>
          <w:szCs w:val="24"/>
          <w:rtl/>
        </w:rPr>
        <w:t xml:space="preserve"> (רעננה, 2014), עמ' 314-301.</w:t>
      </w:r>
    </w:p>
    <w:p w:rsidR="00A03E6A" w:rsidRPr="005F4383" w:rsidRDefault="00F1698D" w:rsidP="00F91E7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 xml:space="preserve">ב"ז קדר, </w:t>
      </w:r>
      <w:r w:rsidRPr="005F4383">
        <w:rPr>
          <w:rFonts w:asciiTheme="majorBidi" w:hAnsiTheme="majorBidi" w:cstheme="majorBidi" w:hint="cs"/>
          <w:sz w:val="24"/>
          <w:szCs w:val="24"/>
          <w:rtl/>
        </w:rPr>
        <w:t xml:space="preserve">"המוסלמים הכפופים לשלטון הפראנקי בחופו המזרחי של הים התיכון." תרגום של: </w:t>
      </w:r>
      <w:r w:rsidRPr="005F4383">
        <w:rPr>
          <w:rFonts w:asciiTheme="majorBidi" w:hAnsiTheme="majorBidi" w:cstheme="majorBidi"/>
          <w:sz w:val="24"/>
          <w:szCs w:val="24"/>
        </w:rPr>
        <w:t xml:space="preserve">Benjamin Z. </w:t>
      </w:r>
      <w:proofErr w:type="spellStart"/>
      <w:r w:rsidRPr="005F4383">
        <w:rPr>
          <w:rFonts w:asciiTheme="majorBidi" w:hAnsiTheme="majorBidi" w:cstheme="majorBidi"/>
          <w:sz w:val="24"/>
          <w:szCs w:val="24"/>
        </w:rPr>
        <w:t>Kedar</w:t>
      </w:r>
      <w:proofErr w:type="spellEnd"/>
      <w:r w:rsidRPr="005F4383">
        <w:rPr>
          <w:rFonts w:asciiTheme="majorBidi" w:hAnsiTheme="majorBidi" w:cstheme="majorBidi"/>
          <w:sz w:val="24"/>
          <w:szCs w:val="24"/>
        </w:rPr>
        <w:t xml:space="preserve">, "The Subjected Muslims of the Frankish Levant," in: </w:t>
      </w:r>
      <w:r w:rsidRPr="005F4383">
        <w:rPr>
          <w:rFonts w:asciiTheme="majorBidi" w:hAnsiTheme="majorBidi" w:cstheme="majorBidi"/>
          <w:sz w:val="24"/>
          <w:szCs w:val="24"/>
          <w:u w:val="single"/>
        </w:rPr>
        <w:t xml:space="preserve">Muslims under Latin </w:t>
      </w:r>
      <w:r w:rsidRPr="005F4383">
        <w:rPr>
          <w:rFonts w:asciiTheme="majorBidi" w:hAnsiTheme="majorBidi" w:cstheme="majorBidi"/>
          <w:sz w:val="24"/>
          <w:szCs w:val="24"/>
          <w:u w:val="single"/>
        </w:rPr>
        <w:lastRenderedPageBreak/>
        <w:t>Rule 1100-1300</w:t>
      </w:r>
      <w:r w:rsidRPr="005F4383">
        <w:rPr>
          <w:rFonts w:asciiTheme="majorBidi" w:hAnsiTheme="majorBidi" w:cstheme="majorBidi"/>
          <w:sz w:val="24"/>
          <w:szCs w:val="24"/>
        </w:rPr>
        <w:t xml:space="preserve"> (Princeton, 1990), pp. 135-174</w:t>
      </w:r>
      <w:proofErr w:type="gramStart"/>
      <w:r w:rsidRPr="005F4383">
        <w:rPr>
          <w:rFonts w:asciiTheme="majorBidi" w:hAnsiTheme="majorBidi" w:cstheme="majorBidi"/>
          <w:sz w:val="24"/>
          <w:szCs w:val="24"/>
        </w:rPr>
        <w:t>.</w:t>
      </w:r>
      <w:r w:rsidR="00DE2162" w:rsidRPr="005F4383">
        <w:rPr>
          <w:rFonts w:asciiTheme="majorBidi" w:hAnsiTheme="majorBidi" w:cstheme="majorBidi" w:hint="cs"/>
          <w:sz w:val="24"/>
          <w:szCs w:val="24"/>
          <w:rtl/>
        </w:rPr>
        <w:t>.</w:t>
      </w:r>
      <w:proofErr w:type="gramEnd"/>
      <w:r w:rsidRPr="005F4383">
        <w:rPr>
          <w:rFonts w:asciiTheme="majorBidi" w:hAnsiTheme="majorBidi" w:cstheme="majorBidi" w:hint="cs"/>
          <w:sz w:val="24"/>
          <w:szCs w:val="24"/>
          <w:rtl/>
        </w:rPr>
        <w:t xml:space="preserve"> התרגום בתוך</w:t>
      </w:r>
      <w:r w:rsidRPr="005F4383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מסעי הצלב: היסטוריה והיסטוריוגרפיה</w:t>
      </w:r>
      <w:r w:rsidRPr="005F4383">
        <w:rPr>
          <w:rFonts w:asciiTheme="majorBidi" w:hAnsiTheme="majorBidi" w:cstheme="majorBidi" w:hint="cs"/>
          <w:sz w:val="24"/>
          <w:szCs w:val="24"/>
          <w:rtl/>
        </w:rPr>
        <w:t>, מקראה בעריכת איריס שגריר ואורית רמון.</w:t>
      </w:r>
    </w:p>
    <w:p w:rsidR="00EB6697" w:rsidRPr="005F4383" w:rsidRDefault="00F1698D" w:rsidP="00F91E7D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>התרחבות טריטוריאלית</w:t>
      </w:r>
      <w:r w:rsidR="00B66F34" w:rsidRPr="005F438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B6697" w:rsidRPr="005F4383">
        <w:rPr>
          <w:rFonts w:asciiTheme="majorBidi" w:hAnsiTheme="majorBidi" w:cstheme="majorBidi"/>
          <w:sz w:val="24"/>
          <w:szCs w:val="24"/>
          <w:rtl/>
        </w:rPr>
        <w:t>ופריסה גיאוגרפית</w:t>
      </w:r>
    </w:p>
    <w:p w:rsidR="00A03E6A" w:rsidRPr="005F4383" w:rsidRDefault="00F1698D" w:rsidP="00F91E7D">
      <w:pPr>
        <w:jc w:val="both"/>
        <w:rPr>
          <w:rFonts w:asciiTheme="majorBidi" w:hAnsiTheme="majorBidi" w:cstheme="majorBidi"/>
          <w:sz w:val="24"/>
          <w:szCs w:val="24"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>קריאה: רוני אלנבלום</w:t>
      </w:r>
      <w:r w:rsidRPr="005F4383">
        <w:rPr>
          <w:rFonts w:asciiTheme="majorBidi" w:hAnsiTheme="majorBidi" w:cstheme="majorBidi" w:hint="cs"/>
          <w:sz w:val="24"/>
          <w:szCs w:val="24"/>
          <w:rtl/>
        </w:rPr>
        <w:t xml:space="preserve">, "התיישבות פראנקית כפרית בממלכת ירושלים הלטינית: סיכום ומסקנות," (תרגום מספרו של אלנבלום: </w:t>
      </w:r>
      <w:r w:rsidRPr="005F4383">
        <w:rPr>
          <w:rFonts w:asciiTheme="majorBidi" w:hAnsiTheme="majorBidi" w:cstheme="majorBidi"/>
          <w:i/>
          <w:iCs/>
          <w:sz w:val="24"/>
          <w:szCs w:val="24"/>
        </w:rPr>
        <w:t>Frankish Rural Settlement in the Latin Kingdom of Jerusalem</w:t>
      </w:r>
      <w:r w:rsidRPr="005F4383">
        <w:rPr>
          <w:rFonts w:asciiTheme="majorBidi" w:hAnsiTheme="majorBidi" w:cstheme="majorBidi"/>
          <w:sz w:val="24"/>
          <w:szCs w:val="24"/>
        </w:rPr>
        <w:t xml:space="preserve"> (Cambridge, 1998)</w:t>
      </w:r>
      <w:r w:rsidRPr="005F4383">
        <w:rPr>
          <w:rFonts w:asciiTheme="majorBidi" w:hAnsiTheme="majorBidi" w:cstheme="majorBidi" w:hint="cs"/>
          <w:sz w:val="24"/>
          <w:szCs w:val="24"/>
          <w:rtl/>
        </w:rPr>
        <w:t xml:space="preserve">). התרגום בתוך: </w:t>
      </w:r>
      <w:r w:rsidRPr="005F4383">
        <w:rPr>
          <w:rFonts w:asciiTheme="majorBidi" w:hAnsiTheme="majorBidi" w:cstheme="majorBidi" w:hint="cs"/>
          <w:sz w:val="24"/>
          <w:szCs w:val="24"/>
          <w:u w:val="single"/>
          <w:rtl/>
        </w:rPr>
        <w:t>מסעי הצלב: היסטוריה והיסטוריוגרפיה</w:t>
      </w:r>
      <w:r w:rsidRPr="005F4383">
        <w:rPr>
          <w:rFonts w:asciiTheme="majorBidi" w:hAnsiTheme="majorBidi" w:cstheme="majorBidi" w:hint="cs"/>
          <w:sz w:val="24"/>
          <w:szCs w:val="24"/>
          <w:rtl/>
        </w:rPr>
        <w:t>, מקראה בעריכת איריס שגריר ואור</w:t>
      </w:r>
      <w:r w:rsidR="00061E2B" w:rsidRPr="005F4383">
        <w:rPr>
          <w:rFonts w:asciiTheme="majorBidi" w:hAnsiTheme="majorBidi" w:cstheme="majorBidi" w:hint="cs"/>
          <w:sz w:val="24"/>
          <w:szCs w:val="24"/>
          <w:rtl/>
        </w:rPr>
        <w:t>ית רמון, עמ' 369-362.</w:t>
      </w:r>
    </w:p>
    <w:p w:rsidR="00BF4056" w:rsidRPr="005F4383" w:rsidRDefault="008463C3" w:rsidP="00F91E7D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>המסדרים הצבאיים</w:t>
      </w:r>
    </w:p>
    <w:p w:rsidR="008463C3" w:rsidRPr="005F4383" w:rsidRDefault="00C63F2B" w:rsidP="00F91E7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 xml:space="preserve">קריאה: איריס שגריר, </w:t>
      </w:r>
      <w:r w:rsidRPr="005F4383">
        <w:rPr>
          <w:rFonts w:asciiTheme="majorBidi" w:hAnsiTheme="majorBidi" w:cstheme="majorBidi"/>
          <w:sz w:val="24"/>
          <w:szCs w:val="24"/>
          <w:u w:val="single"/>
          <w:rtl/>
        </w:rPr>
        <w:t>מסעי הצלב: היסטוריה והיסטוריוגרפיה</w:t>
      </w:r>
      <w:r w:rsidRPr="005F4383">
        <w:rPr>
          <w:rFonts w:asciiTheme="majorBidi" w:hAnsiTheme="majorBidi" w:cstheme="majorBidi"/>
          <w:sz w:val="24"/>
          <w:szCs w:val="24"/>
          <w:rtl/>
        </w:rPr>
        <w:t xml:space="preserve"> (רעננה, 2014), עמ' 195-146.</w:t>
      </w:r>
    </w:p>
    <w:p w:rsidR="008463C3" w:rsidRPr="005F4383" w:rsidRDefault="00092805" w:rsidP="00F91E7D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>המשטר בממלכת ירושלים</w:t>
      </w:r>
    </w:p>
    <w:p w:rsidR="00092805" w:rsidRPr="005F4383" w:rsidRDefault="00416D00" w:rsidP="00F91E7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 xml:space="preserve">קריאה: יהושע פראוור, </w:t>
      </w:r>
      <w:r w:rsidRPr="005F4383">
        <w:rPr>
          <w:rFonts w:asciiTheme="majorBidi" w:hAnsiTheme="majorBidi" w:cstheme="majorBidi"/>
          <w:sz w:val="24"/>
          <w:szCs w:val="24"/>
          <w:u w:val="single"/>
          <w:rtl/>
        </w:rPr>
        <w:t>תולדות ממלכת הצלבנים בארץ-ישראל</w:t>
      </w:r>
      <w:r w:rsidRPr="005F4383">
        <w:rPr>
          <w:rFonts w:asciiTheme="majorBidi" w:hAnsiTheme="majorBidi" w:cstheme="majorBidi"/>
          <w:sz w:val="24"/>
          <w:szCs w:val="24"/>
          <w:rtl/>
        </w:rPr>
        <w:t xml:space="preserve"> (ירושלים, 1963), כרך א', </w:t>
      </w:r>
      <w:r w:rsidR="00DE2162" w:rsidRPr="005F4383">
        <w:rPr>
          <w:rFonts w:asciiTheme="majorBidi" w:hAnsiTheme="majorBidi" w:cstheme="majorBidi"/>
          <w:sz w:val="24"/>
          <w:szCs w:val="24"/>
          <w:rtl/>
        </w:rPr>
        <w:t xml:space="preserve">עמ' 388-361, 404-398. </w:t>
      </w:r>
    </w:p>
    <w:p w:rsidR="00BF4056" w:rsidRPr="005F4383" w:rsidRDefault="00B66F34" w:rsidP="00F91E7D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>עלייתם של האיובים</w:t>
      </w:r>
    </w:p>
    <w:p w:rsidR="00E2162D" w:rsidRPr="005F4383" w:rsidRDefault="005C2445" w:rsidP="00F91E7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 xml:space="preserve">קריאה: </w:t>
      </w:r>
      <w:r w:rsidR="00E2162D" w:rsidRPr="005F438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F4383">
        <w:rPr>
          <w:rFonts w:asciiTheme="majorBidi" w:hAnsiTheme="majorBidi" w:cstheme="majorBidi"/>
          <w:sz w:val="24"/>
          <w:szCs w:val="24"/>
        </w:rPr>
        <w:t xml:space="preserve">Anne-Marie </w:t>
      </w:r>
      <w:proofErr w:type="spellStart"/>
      <w:r w:rsidRPr="005F4383">
        <w:rPr>
          <w:rFonts w:asciiTheme="majorBidi" w:hAnsiTheme="majorBidi" w:cstheme="majorBidi"/>
          <w:sz w:val="24"/>
          <w:szCs w:val="24"/>
        </w:rPr>
        <w:t>Eddé</w:t>
      </w:r>
      <w:proofErr w:type="spellEnd"/>
      <w:r w:rsidRPr="005F4383">
        <w:rPr>
          <w:rFonts w:asciiTheme="majorBidi" w:hAnsiTheme="majorBidi" w:cstheme="majorBidi"/>
          <w:sz w:val="24"/>
          <w:szCs w:val="24"/>
        </w:rPr>
        <w:t>, "</w:t>
      </w:r>
      <w:proofErr w:type="spellStart"/>
      <w:r w:rsidRPr="005F4383">
        <w:rPr>
          <w:rFonts w:asciiTheme="majorBidi" w:hAnsiTheme="majorBidi" w:cstheme="majorBidi"/>
          <w:sz w:val="24"/>
          <w:szCs w:val="24"/>
        </w:rPr>
        <w:t>Bilād</w:t>
      </w:r>
      <w:proofErr w:type="spellEnd"/>
      <w:r w:rsidRPr="005F4383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5F4383">
        <w:rPr>
          <w:rFonts w:asciiTheme="majorBidi" w:hAnsiTheme="majorBidi" w:cstheme="majorBidi"/>
          <w:sz w:val="24"/>
          <w:szCs w:val="24"/>
        </w:rPr>
        <w:t>Shām</w:t>
      </w:r>
      <w:proofErr w:type="spellEnd"/>
      <w:r w:rsidRPr="005F4383">
        <w:rPr>
          <w:rFonts w:asciiTheme="majorBidi" w:hAnsiTheme="majorBidi" w:cstheme="majorBidi"/>
          <w:sz w:val="24"/>
          <w:szCs w:val="24"/>
        </w:rPr>
        <w:t xml:space="preserve">, from the </w:t>
      </w:r>
      <w:proofErr w:type="spellStart"/>
      <w:r w:rsidRPr="005F4383">
        <w:rPr>
          <w:rFonts w:asciiTheme="majorBidi" w:hAnsiTheme="majorBidi" w:cstheme="majorBidi"/>
          <w:sz w:val="24"/>
          <w:szCs w:val="24"/>
        </w:rPr>
        <w:t>Fātimid</w:t>
      </w:r>
      <w:proofErr w:type="spellEnd"/>
      <w:r w:rsidRPr="005F4383">
        <w:rPr>
          <w:rFonts w:asciiTheme="majorBidi" w:hAnsiTheme="majorBidi" w:cstheme="majorBidi"/>
          <w:sz w:val="24"/>
          <w:szCs w:val="24"/>
        </w:rPr>
        <w:t xml:space="preserve"> Conquest to the Fall of the </w:t>
      </w:r>
      <w:proofErr w:type="spellStart"/>
      <w:r w:rsidRPr="005F4383">
        <w:rPr>
          <w:rFonts w:asciiTheme="majorBidi" w:hAnsiTheme="majorBidi" w:cstheme="majorBidi"/>
          <w:sz w:val="24"/>
          <w:szCs w:val="24"/>
        </w:rPr>
        <w:t>Ayyūbids</w:t>
      </w:r>
      <w:proofErr w:type="spellEnd"/>
      <w:r w:rsidRPr="005F4383">
        <w:rPr>
          <w:rFonts w:asciiTheme="majorBidi" w:hAnsiTheme="majorBidi" w:cstheme="majorBidi"/>
          <w:sz w:val="24"/>
          <w:szCs w:val="24"/>
        </w:rPr>
        <w:t xml:space="preserve"> (</w:t>
      </w:r>
      <w:r w:rsidR="00B1458F" w:rsidRPr="005F4383">
        <w:rPr>
          <w:rFonts w:asciiTheme="majorBidi" w:hAnsiTheme="majorBidi" w:cstheme="majorBidi"/>
          <w:sz w:val="24"/>
          <w:szCs w:val="24"/>
        </w:rPr>
        <w:t>359-658/</w:t>
      </w:r>
      <w:r w:rsidRPr="005F4383">
        <w:rPr>
          <w:rFonts w:asciiTheme="majorBidi" w:hAnsiTheme="majorBidi" w:cstheme="majorBidi"/>
          <w:sz w:val="24"/>
          <w:szCs w:val="24"/>
        </w:rPr>
        <w:t xml:space="preserve">970-1260)," </w:t>
      </w:r>
      <w:r w:rsidRPr="005F4383">
        <w:rPr>
          <w:rFonts w:asciiTheme="majorBidi" w:hAnsiTheme="majorBidi" w:cstheme="majorBidi"/>
          <w:i/>
          <w:iCs/>
          <w:sz w:val="24"/>
          <w:szCs w:val="24"/>
        </w:rPr>
        <w:t>The New Cambridge History of Islam</w:t>
      </w:r>
      <w:r w:rsidRPr="005F4383">
        <w:rPr>
          <w:rFonts w:asciiTheme="majorBidi" w:hAnsiTheme="majorBidi" w:cstheme="majorBidi"/>
          <w:sz w:val="24"/>
          <w:szCs w:val="24"/>
        </w:rPr>
        <w:t xml:space="preserve">, vol. 2 (Cambridge, 2010), pp. 180-186. </w:t>
      </w:r>
    </w:p>
    <w:p w:rsidR="00BF4056" w:rsidRPr="005F4383" w:rsidRDefault="008E063E" w:rsidP="00F91E7D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>קרני חטין ונפילתה של ממלכת ירושלים</w:t>
      </w:r>
    </w:p>
    <w:p w:rsidR="008E063E" w:rsidRPr="005F4383" w:rsidRDefault="00092805" w:rsidP="00F91E7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 xml:space="preserve">קריאה: ב"ז קדר, "קרב קרני חטין: מבט אחר," </w:t>
      </w:r>
      <w:r w:rsidRPr="005F4383">
        <w:rPr>
          <w:rFonts w:asciiTheme="majorBidi" w:hAnsiTheme="majorBidi" w:cstheme="majorBidi"/>
          <w:i/>
          <w:iCs/>
          <w:sz w:val="24"/>
          <w:szCs w:val="24"/>
          <w:rtl/>
        </w:rPr>
        <w:t>קתדרה</w:t>
      </w:r>
      <w:r w:rsidRPr="005F4383">
        <w:rPr>
          <w:rFonts w:asciiTheme="majorBidi" w:hAnsiTheme="majorBidi" w:cstheme="majorBidi"/>
          <w:sz w:val="24"/>
          <w:szCs w:val="24"/>
          <w:rtl/>
        </w:rPr>
        <w:t xml:space="preserve"> 61 (ספטמבר, 1991), עמ' 112-95.</w:t>
      </w:r>
    </w:p>
    <w:p w:rsidR="008E063E" w:rsidRPr="005F4383" w:rsidRDefault="008E063E" w:rsidP="00F91E7D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>מסע הצלב השלישי וכינונה של הממלכה השני</w:t>
      </w:r>
      <w:r w:rsidR="00092805" w:rsidRPr="005F4383">
        <w:rPr>
          <w:rFonts w:asciiTheme="majorBidi" w:hAnsiTheme="majorBidi" w:cstheme="majorBidi"/>
          <w:sz w:val="24"/>
          <w:szCs w:val="24"/>
          <w:rtl/>
        </w:rPr>
        <w:t>י</w:t>
      </w:r>
      <w:r w:rsidRPr="005F4383">
        <w:rPr>
          <w:rFonts w:asciiTheme="majorBidi" w:hAnsiTheme="majorBidi" w:cstheme="majorBidi"/>
          <w:sz w:val="24"/>
          <w:szCs w:val="24"/>
          <w:rtl/>
        </w:rPr>
        <w:t>ה</w:t>
      </w:r>
    </w:p>
    <w:p w:rsidR="00092805" w:rsidRPr="005F4383" w:rsidRDefault="00092805" w:rsidP="00F91E7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 xml:space="preserve">קריאה: </w:t>
      </w:r>
    </w:p>
    <w:p w:rsidR="00FC78E9" w:rsidRPr="005F4383" w:rsidRDefault="00FC78E9" w:rsidP="00F91E7D">
      <w:pPr>
        <w:jc w:val="both"/>
        <w:rPr>
          <w:rFonts w:asciiTheme="majorBidi" w:hAnsiTheme="majorBidi" w:cstheme="majorBidi"/>
          <w:sz w:val="24"/>
          <w:szCs w:val="24"/>
        </w:rPr>
      </w:pPr>
      <w:r w:rsidRPr="005F4383">
        <w:rPr>
          <w:rFonts w:asciiTheme="majorBidi" w:hAnsiTheme="majorBidi" w:cstheme="majorBidi"/>
          <w:sz w:val="24"/>
          <w:szCs w:val="24"/>
        </w:rPr>
        <w:t xml:space="preserve">Hans E. Mayer, </w:t>
      </w:r>
      <w:proofErr w:type="gramStart"/>
      <w:r w:rsidRPr="005F4383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gramEnd"/>
      <w:r w:rsidRPr="005F4383">
        <w:rPr>
          <w:rFonts w:asciiTheme="majorBidi" w:hAnsiTheme="majorBidi" w:cstheme="majorBidi"/>
          <w:i/>
          <w:iCs/>
          <w:sz w:val="24"/>
          <w:szCs w:val="24"/>
        </w:rPr>
        <w:t xml:space="preserve"> Crusades</w:t>
      </w:r>
      <w:r w:rsidRPr="005F4383">
        <w:rPr>
          <w:rFonts w:asciiTheme="majorBidi" w:hAnsiTheme="majorBidi" w:cstheme="majorBidi"/>
          <w:sz w:val="24"/>
          <w:szCs w:val="24"/>
        </w:rPr>
        <w:t xml:space="preserve">, trans. John </w:t>
      </w:r>
      <w:proofErr w:type="spellStart"/>
      <w:r w:rsidRPr="005F4383">
        <w:rPr>
          <w:rFonts w:asciiTheme="majorBidi" w:hAnsiTheme="majorBidi" w:cstheme="majorBidi"/>
          <w:sz w:val="24"/>
          <w:szCs w:val="24"/>
        </w:rPr>
        <w:t>Gillingham</w:t>
      </w:r>
      <w:proofErr w:type="spellEnd"/>
      <w:r w:rsidRPr="005F4383">
        <w:rPr>
          <w:rFonts w:asciiTheme="majorBidi" w:hAnsiTheme="majorBidi" w:cstheme="majorBidi"/>
          <w:sz w:val="24"/>
          <w:szCs w:val="24"/>
        </w:rPr>
        <w:t xml:space="preserve"> (Oxford, 1988), pp. 137-151.</w:t>
      </w:r>
    </w:p>
    <w:p w:rsidR="00BF4056" w:rsidRPr="005F4383" w:rsidRDefault="00B66F34" w:rsidP="00F91E7D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>פרידריך השני</w:t>
      </w:r>
      <w:r w:rsidR="00E2105D" w:rsidRPr="005F4383">
        <w:rPr>
          <w:rFonts w:asciiTheme="majorBidi" w:hAnsiTheme="majorBidi" w:cstheme="majorBidi"/>
          <w:sz w:val="24"/>
          <w:szCs w:val="24"/>
          <w:rtl/>
        </w:rPr>
        <w:t xml:space="preserve"> והסכם תל עג'ול</w:t>
      </w:r>
    </w:p>
    <w:p w:rsidR="00FC78E9" w:rsidRPr="005F4383" w:rsidRDefault="00FC78E9" w:rsidP="00F91E7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 xml:space="preserve">קריאה: </w:t>
      </w:r>
      <w:r w:rsidR="00B276B0" w:rsidRPr="005F4383">
        <w:rPr>
          <w:rFonts w:asciiTheme="majorBidi" w:hAnsiTheme="majorBidi" w:cstheme="majorBidi"/>
          <w:sz w:val="24"/>
          <w:szCs w:val="24"/>
          <w:rtl/>
        </w:rPr>
        <w:t xml:space="preserve">יהושע פראוור, </w:t>
      </w:r>
      <w:r w:rsidR="00B276B0" w:rsidRPr="005F4383">
        <w:rPr>
          <w:rFonts w:asciiTheme="majorBidi" w:hAnsiTheme="majorBidi" w:cstheme="majorBidi"/>
          <w:sz w:val="24"/>
          <w:szCs w:val="24"/>
          <w:u w:val="single"/>
          <w:rtl/>
        </w:rPr>
        <w:t>תולדות ממלכת הצלבנים בארץ-ישראל</w:t>
      </w:r>
      <w:r w:rsidR="00B276B0" w:rsidRPr="005F4383">
        <w:rPr>
          <w:rFonts w:asciiTheme="majorBidi" w:hAnsiTheme="majorBidi" w:cstheme="majorBidi"/>
          <w:sz w:val="24"/>
          <w:szCs w:val="24"/>
          <w:rtl/>
        </w:rPr>
        <w:t xml:space="preserve"> (ירושלים, 1963), כרך ב', עמ' 199-173.</w:t>
      </w:r>
    </w:p>
    <w:p w:rsidR="00BF4056" w:rsidRPr="005F4383" w:rsidRDefault="00BF4056" w:rsidP="00F91E7D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>לואי התשיעי</w:t>
      </w:r>
      <w:r w:rsidR="00B276B0" w:rsidRPr="005F4383">
        <w:rPr>
          <w:rFonts w:asciiTheme="majorBidi" w:hAnsiTheme="majorBidi" w:cstheme="majorBidi"/>
          <w:sz w:val="24"/>
          <w:szCs w:val="24"/>
          <w:rtl/>
        </w:rPr>
        <w:t xml:space="preserve"> ומסע הצלב השביעי</w:t>
      </w:r>
    </w:p>
    <w:p w:rsidR="00B276B0" w:rsidRPr="005F4383" w:rsidRDefault="00B276B0" w:rsidP="00F91E7D">
      <w:pPr>
        <w:jc w:val="both"/>
        <w:rPr>
          <w:rFonts w:asciiTheme="majorBidi" w:hAnsiTheme="majorBidi" w:cstheme="majorBidi"/>
          <w:sz w:val="24"/>
          <w:szCs w:val="24"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>קריאה:</w:t>
      </w:r>
      <w:r w:rsidR="004920C4" w:rsidRPr="005F438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F4383">
        <w:rPr>
          <w:rFonts w:asciiTheme="majorBidi" w:hAnsiTheme="majorBidi" w:cstheme="majorBidi"/>
          <w:sz w:val="24"/>
          <w:szCs w:val="24"/>
        </w:rPr>
        <w:t xml:space="preserve">Jean Richard, </w:t>
      </w:r>
      <w:r w:rsidRPr="005F4383">
        <w:rPr>
          <w:rFonts w:asciiTheme="majorBidi" w:hAnsiTheme="majorBidi" w:cstheme="majorBidi"/>
          <w:i/>
          <w:iCs/>
          <w:sz w:val="24"/>
          <w:szCs w:val="24"/>
        </w:rPr>
        <w:t>The Crusades</w:t>
      </w:r>
      <w:r w:rsidRPr="005F4383">
        <w:rPr>
          <w:rFonts w:asciiTheme="majorBidi" w:hAnsiTheme="majorBidi" w:cstheme="majorBidi"/>
          <w:sz w:val="24"/>
          <w:szCs w:val="24"/>
        </w:rPr>
        <w:t xml:space="preserve">, trans. Jean </w:t>
      </w:r>
      <w:proofErr w:type="spellStart"/>
      <w:r w:rsidRPr="005F4383">
        <w:rPr>
          <w:rFonts w:asciiTheme="majorBidi" w:hAnsiTheme="majorBidi" w:cstheme="majorBidi"/>
          <w:sz w:val="24"/>
          <w:szCs w:val="24"/>
        </w:rPr>
        <w:t>Birrell</w:t>
      </w:r>
      <w:proofErr w:type="spellEnd"/>
      <w:r w:rsidRPr="005F4383">
        <w:rPr>
          <w:rFonts w:asciiTheme="majorBidi" w:hAnsiTheme="majorBidi" w:cstheme="majorBidi"/>
          <w:sz w:val="24"/>
          <w:szCs w:val="24"/>
        </w:rPr>
        <w:t xml:space="preserve"> (Cambridge, 1999), pp. 338-356.</w:t>
      </w:r>
    </w:p>
    <w:p w:rsidR="00BF4056" w:rsidRPr="005F4383" w:rsidRDefault="00BF4056" w:rsidP="00F91E7D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>המהפכה הממלוכית</w:t>
      </w:r>
    </w:p>
    <w:p w:rsidR="00F96F59" w:rsidRPr="005F4383" w:rsidRDefault="00F96F59" w:rsidP="00F91E7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 xml:space="preserve">קריאה: </w:t>
      </w:r>
      <w:r w:rsidRPr="005F4383">
        <w:rPr>
          <w:rFonts w:asciiTheme="majorBidi" w:hAnsiTheme="majorBidi" w:cstheme="majorBidi"/>
          <w:sz w:val="24"/>
          <w:szCs w:val="24"/>
        </w:rPr>
        <w:t xml:space="preserve">Amalia </w:t>
      </w:r>
      <w:proofErr w:type="spellStart"/>
      <w:r w:rsidRPr="005F4383">
        <w:rPr>
          <w:rFonts w:asciiTheme="majorBidi" w:hAnsiTheme="majorBidi" w:cstheme="majorBidi"/>
          <w:sz w:val="24"/>
          <w:szCs w:val="24"/>
        </w:rPr>
        <w:t>Levanoni</w:t>
      </w:r>
      <w:proofErr w:type="spellEnd"/>
      <w:r w:rsidRPr="005F4383">
        <w:rPr>
          <w:rFonts w:asciiTheme="majorBidi" w:hAnsiTheme="majorBidi" w:cstheme="majorBidi"/>
          <w:sz w:val="24"/>
          <w:szCs w:val="24"/>
        </w:rPr>
        <w:t xml:space="preserve">, "The </w:t>
      </w:r>
      <w:proofErr w:type="spellStart"/>
      <w:r w:rsidRPr="005F4383">
        <w:rPr>
          <w:rFonts w:asciiTheme="majorBidi" w:hAnsiTheme="majorBidi" w:cstheme="majorBidi"/>
          <w:sz w:val="24"/>
          <w:szCs w:val="24"/>
        </w:rPr>
        <w:t>Mamluks</w:t>
      </w:r>
      <w:proofErr w:type="spellEnd"/>
      <w:r w:rsidRPr="005F4383">
        <w:rPr>
          <w:rFonts w:asciiTheme="majorBidi" w:hAnsiTheme="majorBidi" w:cstheme="majorBidi"/>
          <w:sz w:val="24"/>
          <w:szCs w:val="24"/>
        </w:rPr>
        <w:t xml:space="preserve"> in Egypt and Syria," </w:t>
      </w:r>
      <w:r w:rsidRPr="005F4383">
        <w:rPr>
          <w:rFonts w:asciiTheme="majorBidi" w:hAnsiTheme="majorBidi" w:cstheme="majorBidi"/>
          <w:i/>
          <w:iCs/>
          <w:sz w:val="24"/>
          <w:szCs w:val="24"/>
        </w:rPr>
        <w:t>The New Cambridge History of Islam</w:t>
      </w:r>
      <w:r w:rsidRPr="005F4383">
        <w:rPr>
          <w:rFonts w:asciiTheme="majorBidi" w:hAnsiTheme="majorBidi" w:cstheme="majorBidi"/>
          <w:sz w:val="24"/>
          <w:szCs w:val="24"/>
        </w:rPr>
        <w:t>, vol. 2 (Cambridge, 2010), pp. 237-239.</w:t>
      </w:r>
    </w:p>
    <w:p w:rsidR="00FD011E" w:rsidRPr="005F4383" w:rsidRDefault="00FD011E" w:rsidP="00F91E7D">
      <w:pPr>
        <w:jc w:val="both"/>
        <w:rPr>
          <w:rFonts w:asciiTheme="majorBidi" w:hAnsiTheme="majorBidi" w:cstheme="majorBidi"/>
          <w:sz w:val="24"/>
          <w:szCs w:val="24"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 xml:space="preserve">ראובן עמיתי, "המדינה הממלוכית וקשריה עם ירושלים," בתוך: </w:t>
      </w:r>
      <w:r w:rsidRPr="005F4383">
        <w:rPr>
          <w:rFonts w:asciiTheme="majorBidi" w:hAnsiTheme="majorBidi" w:cstheme="majorBidi"/>
          <w:sz w:val="24"/>
          <w:szCs w:val="24"/>
          <w:u w:val="single"/>
          <w:rtl/>
        </w:rPr>
        <w:t>ספר ירושלים בתקופה הממלוכית (1517-1260)</w:t>
      </w:r>
      <w:r w:rsidRPr="005F4383">
        <w:rPr>
          <w:rFonts w:asciiTheme="majorBidi" w:hAnsiTheme="majorBidi" w:cstheme="majorBidi"/>
          <w:sz w:val="24"/>
          <w:szCs w:val="24"/>
          <w:rtl/>
        </w:rPr>
        <w:t>, עורכים איוון פרידמן ויוסף דרורי (ירושלים, 2012), עמ' 11-3.</w:t>
      </w:r>
    </w:p>
    <w:p w:rsidR="00BF4056" w:rsidRPr="005F4383" w:rsidRDefault="00741EE2" w:rsidP="00F91E7D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lastRenderedPageBreak/>
        <w:t>עיצובה של הסולטנות הממלוכית ומדיניות החוץ שלה</w:t>
      </w:r>
    </w:p>
    <w:p w:rsidR="00741EE2" w:rsidRPr="005F4383" w:rsidRDefault="00741EE2" w:rsidP="00F91E7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 xml:space="preserve">קריאה: </w:t>
      </w:r>
      <w:r w:rsidRPr="005F4383">
        <w:rPr>
          <w:rFonts w:asciiTheme="majorBidi" w:hAnsiTheme="majorBidi" w:cstheme="majorBidi"/>
          <w:sz w:val="24"/>
          <w:szCs w:val="24"/>
        </w:rPr>
        <w:t xml:space="preserve">Amalia </w:t>
      </w:r>
      <w:proofErr w:type="spellStart"/>
      <w:r w:rsidRPr="005F4383">
        <w:rPr>
          <w:rFonts w:asciiTheme="majorBidi" w:hAnsiTheme="majorBidi" w:cstheme="majorBidi"/>
          <w:sz w:val="24"/>
          <w:szCs w:val="24"/>
        </w:rPr>
        <w:t>Levanoni</w:t>
      </w:r>
      <w:proofErr w:type="spellEnd"/>
      <w:r w:rsidRPr="005F4383">
        <w:rPr>
          <w:rFonts w:asciiTheme="majorBidi" w:hAnsiTheme="majorBidi" w:cstheme="majorBidi"/>
          <w:sz w:val="24"/>
          <w:szCs w:val="24"/>
        </w:rPr>
        <w:t xml:space="preserve">, "The </w:t>
      </w:r>
      <w:proofErr w:type="spellStart"/>
      <w:r w:rsidRPr="005F4383">
        <w:rPr>
          <w:rFonts w:asciiTheme="majorBidi" w:hAnsiTheme="majorBidi" w:cstheme="majorBidi"/>
          <w:sz w:val="24"/>
          <w:szCs w:val="24"/>
        </w:rPr>
        <w:t>Mamluks</w:t>
      </w:r>
      <w:proofErr w:type="spellEnd"/>
      <w:r w:rsidRPr="005F4383">
        <w:rPr>
          <w:rFonts w:asciiTheme="majorBidi" w:hAnsiTheme="majorBidi" w:cstheme="majorBidi"/>
          <w:sz w:val="24"/>
          <w:szCs w:val="24"/>
        </w:rPr>
        <w:t xml:space="preserve"> in Egypt and Syria," </w:t>
      </w:r>
      <w:r w:rsidRPr="005F4383">
        <w:rPr>
          <w:rFonts w:asciiTheme="majorBidi" w:hAnsiTheme="majorBidi" w:cstheme="majorBidi"/>
          <w:i/>
          <w:iCs/>
          <w:sz w:val="24"/>
          <w:szCs w:val="24"/>
        </w:rPr>
        <w:t>The New Cambridge History of Islam</w:t>
      </w:r>
      <w:r w:rsidRPr="005F4383">
        <w:rPr>
          <w:rFonts w:asciiTheme="majorBidi" w:hAnsiTheme="majorBidi" w:cstheme="majorBidi"/>
          <w:sz w:val="24"/>
          <w:szCs w:val="24"/>
        </w:rPr>
        <w:t>, vol. 2 (Cambridge, 2010), pp. 239-</w:t>
      </w:r>
      <w:r w:rsidR="0078075A" w:rsidRPr="005F4383">
        <w:rPr>
          <w:rFonts w:asciiTheme="majorBidi" w:hAnsiTheme="majorBidi" w:cstheme="majorBidi"/>
          <w:sz w:val="24"/>
          <w:szCs w:val="24"/>
        </w:rPr>
        <w:t>248.</w:t>
      </w:r>
    </w:p>
    <w:p w:rsidR="000B5EE6" w:rsidRPr="005F4383" w:rsidRDefault="000B5EE6" w:rsidP="00F91E7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/>
          <w:sz w:val="24"/>
          <w:szCs w:val="24"/>
        </w:rPr>
        <w:t xml:space="preserve">R. Stephen </w:t>
      </w:r>
      <w:proofErr w:type="spellStart"/>
      <w:r w:rsidRPr="005F4383">
        <w:rPr>
          <w:rFonts w:asciiTheme="majorBidi" w:hAnsiTheme="majorBidi" w:cstheme="majorBidi"/>
          <w:sz w:val="24"/>
          <w:szCs w:val="24"/>
        </w:rPr>
        <w:t>Hamphreys</w:t>
      </w:r>
      <w:proofErr w:type="spellEnd"/>
      <w:r w:rsidRPr="005F4383">
        <w:rPr>
          <w:rFonts w:asciiTheme="majorBidi" w:hAnsiTheme="majorBidi" w:cstheme="majorBidi"/>
          <w:sz w:val="24"/>
          <w:szCs w:val="24"/>
        </w:rPr>
        <w:t>, "</w:t>
      </w:r>
      <w:proofErr w:type="spellStart"/>
      <w:r w:rsidRPr="005F4383">
        <w:rPr>
          <w:rFonts w:asciiTheme="majorBidi" w:hAnsiTheme="majorBidi" w:cstheme="majorBidi"/>
          <w:sz w:val="24"/>
          <w:szCs w:val="24"/>
        </w:rPr>
        <w:t>Ayyubids</w:t>
      </w:r>
      <w:proofErr w:type="spellEnd"/>
      <w:r w:rsidRPr="005F438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F4383">
        <w:rPr>
          <w:rFonts w:asciiTheme="majorBidi" w:hAnsiTheme="majorBidi" w:cstheme="majorBidi"/>
          <w:sz w:val="24"/>
          <w:szCs w:val="24"/>
        </w:rPr>
        <w:t>Mamluks</w:t>
      </w:r>
      <w:proofErr w:type="spellEnd"/>
      <w:r w:rsidRPr="005F4383">
        <w:rPr>
          <w:rFonts w:asciiTheme="majorBidi" w:hAnsiTheme="majorBidi" w:cstheme="majorBidi"/>
          <w:sz w:val="24"/>
          <w:szCs w:val="24"/>
        </w:rPr>
        <w:t xml:space="preserve"> and the Latin East in the Thirteenth Century," Mamluk Studies Review 2 (1998), pp. 1-17. </w:t>
      </w:r>
    </w:p>
    <w:p w:rsidR="00741EE2" w:rsidRPr="005F4383" w:rsidRDefault="0078075A" w:rsidP="00F91E7D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>פראנקים, ממלוכים ומונגולים</w:t>
      </w:r>
    </w:p>
    <w:p w:rsidR="0078075A" w:rsidRPr="005F4383" w:rsidRDefault="0078075A" w:rsidP="00F91E7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 xml:space="preserve">קריאה: יהושע פראוור, </w:t>
      </w:r>
      <w:r w:rsidRPr="005F4383">
        <w:rPr>
          <w:rFonts w:asciiTheme="majorBidi" w:hAnsiTheme="majorBidi" w:cstheme="majorBidi"/>
          <w:sz w:val="24"/>
          <w:szCs w:val="24"/>
          <w:u w:val="single"/>
          <w:rtl/>
        </w:rPr>
        <w:t>תולדות ממלכת הצלבנים בארץ-ישראל</w:t>
      </w:r>
      <w:r w:rsidRPr="005F4383">
        <w:rPr>
          <w:rFonts w:asciiTheme="majorBidi" w:hAnsiTheme="majorBidi" w:cstheme="majorBidi"/>
          <w:sz w:val="24"/>
          <w:szCs w:val="24"/>
          <w:rtl/>
        </w:rPr>
        <w:t xml:space="preserve"> (ירושלים, 1963), כרך ב', עמ' 435-406.</w:t>
      </w:r>
    </w:p>
    <w:p w:rsidR="00C52A24" w:rsidRPr="005F4383" w:rsidRDefault="00C52A24" w:rsidP="00F91E7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 xml:space="preserve">ראובן עמיתי-פרייס, "על שתי פשיטות מונגוליות לארץ ישראל," בתוך: </w:t>
      </w:r>
      <w:r w:rsidRPr="005F4383">
        <w:rPr>
          <w:rFonts w:asciiTheme="majorBidi" w:hAnsiTheme="majorBidi" w:cstheme="majorBidi"/>
          <w:sz w:val="24"/>
          <w:szCs w:val="24"/>
          <w:u w:val="single"/>
          <w:rtl/>
        </w:rPr>
        <w:t>ארץ ישראל בתקופה הממלוכית</w:t>
      </w:r>
      <w:r w:rsidRPr="005F4383">
        <w:rPr>
          <w:rFonts w:asciiTheme="majorBidi" w:hAnsiTheme="majorBidi" w:cstheme="majorBidi"/>
          <w:sz w:val="24"/>
          <w:szCs w:val="24"/>
          <w:rtl/>
        </w:rPr>
        <w:t>, עורך יוסף דרורי (ירושלים, 1992), עמ' 63-43.</w:t>
      </w:r>
    </w:p>
    <w:p w:rsidR="00BF4056" w:rsidRPr="005F4383" w:rsidRDefault="0078075A" w:rsidP="00F91E7D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>קיצה של ממלכת ירושלים</w:t>
      </w:r>
    </w:p>
    <w:p w:rsidR="0078075A" w:rsidRPr="005F4383" w:rsidRDefault="0078075A" w:rsidP="00F91E7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 xml:space="preserve">קריאה: יהושע פראוור, </w:t>
      </w:r>
      <w:r w:rsidRPr="005F4383">
        <w:rPr>
          <w:rFonts w:asciiTheme="majorBidi" w:hAnsiTheme="majorBidi" w:cstheme="majorBidi"/>
          <w:sz w:val="24"/>
          <w:szCs w:val="24"/>
          <w:u w:val="single"/>
          <w:rtl/>
        </w:rPr>
        <w:t>תולדות ממלכת הצלבנים בארץ-ישראל</w:t>
      </w:r>
      <w:r w:rsidRPr="005F4383">
        <w:rPr>
          <w:rFonts w:asciiTheme="majorBidi" w:hAnsiTheme="majorBidi" w:cstheme="majorBidi"/>
          <w:sz w:val="24"/>
          <w:szCs w:val="24"/>
          <w:rtl/>
        </w:rPr>
        <w:t xml:space="preserve"> (ירושלים, 1963), כרך ב', עמ' 544-525.</w:t>
      </w:r>
      <w:r w:rsidRPr="005F4383">
        <w:rPr>
          <w:rFonts w:asciiTheme="majorBidi" w:hAnsiTheme="majorBidi" w:cstheme="majorBidi"/>
          <w:sz w:val="24"/>
          <w:szCs w:val="24"/>
        </w:rPr>
        <w:t xml:space="preserve"> </w:t>
      </w:r>
    </w:p>
    <w:p w:rsidR="009C1CB0" w:rsidRPr="005F4383" w:rsidRDefault="009632A6" w:rsidP="00F91E7D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>תקופת שלטונו של אנ-נאצר מוחמד</w:t>
      </w:r>
    </w:p>
    <w:p w:rsidR="009632A6" w:rsidRPr="005F4383" w:rsidRDefault="009632A6" w:rsidP="00F91E7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 xml:space="preserve">קריאה: </w:t>
      </w:r>
      <w:r w:rsidRPr="005F4383">
        <w:rPr>
          <w:rFonts w:asciiTheme="majorBidi" w:hAnsiTheme="majorBidi" w:cstheme="majorBidi"/>
          <w:sz w:val="24"/>
          <w:szCs w:val="24"/>
        </w:rPr>
        <w:t xml:space="preserve">P.M. Holt, </w:t>
      </w:r>
      <w:r w:rsidRPr="005F4383">
        <w:rPr>
          <w:rFonts w:asciiTheme="majorBidi" w:hAnsiTheme="majorBidi" w:cstheme="majorBidi"/>
          <w:i/>
          <w:iCs/>
          <w:sz w:val="24"/>
          <w:szCs w:val="24"/>
        </w:rPr>
        <w:t>The Age of the Crusades: The Near East from the Eleventh century to 1517</w:t>
      </w:r>
      <w:r w:rsidRPr="005F4383">
        <w:rPr>
          <w:rFonts w:asciiTheme="majorBidi" w:hAnsiTheme="majorBidi" w:cstheme="majorBidi"/>
          <w:sz w:val="24"/>
          <w:szCs w:val="24"/>
        </w:rPr>
        <w:t xml:space="preserve"> (London, 1986), pp. 107-120.</w:t>
      </w:r>
    </w:p>
    <w:p w:rsidR="00BF4056" w:rsidRPr="005F4383" w:rsidRDefault="009C1CB0" w:rsidP="00F91E7D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>א</w:t>
      </w:r>
      <w:r w:rsidR="00244913" w:rsidRPr="005F4383">
        <w:rPr>
          <w:rFonts w:asciiTheme="majorBidi" w:hAnsiTheme="majorBidi" w:cstheme="majorBidi"/>
          <w:sz w:val="24"/>
          <w:szCs w:val="24"/>
          <w:rtl/>
        </w:rPr>
        <w:t>י</w:t>
      </w:r>
      <w:r w:rsidRPr="005F4383">
        <w:rPr>
          <w:rFonts w:asciiTheme="majorBidi" w:hAnsiTheme="majorBidi" w:cstheme="majorBidi"/>
          <w:sz w:val="24"/>
          <w:szCs w:val="24"/>
          <w:rtl/>
        </w:rPr>
        <w:t>סלומה של הארץ</w:t>
      </w:r>
    </w:p>
    <w:p w:rsidR="00244913" w:rsidRPr="005F4383" w:rsidRDefault="009632A6" w:rsidP="00F91E7D">
      <w:pPr>
        <w:jc w:val="both"/>
        <w:rPr>
          <w:rFonts w:asciiTheme="majorBidi" w:hAnsiTheme="majorBidi" w:cstheme="majorBidi"/>
          <w:sz w:val="24"/>
          <w:szCs w:val="24"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>קריאה:</w:t>
      </w:r>
      <w:r w:rsidR="00244913" w:rsidRPr="005F438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44913" w:rsidRPr="005F4383">
        <w:rPr>
          <w:rFonts w:asciiTheme="majorBidi" w:hAnsiTheme="majorBidi" w:cstheme="majorBidi"/>
          <w:sz w:val="24"/>
          <w:szCs w:val="24"/>
        </w:rPr>
        <w:t xml:space="preserve">Nimrod Luz, "Aspects of Islamization of Space and Society in Mamluk Jerusalem and its Hinterland," </w:t>
      </w:r>
      <w:r w:rsidR="00244913" w:rsidRPr="005F4383">
        <w:rPr>
          <w:rFonts w:asciiTheme="majorBidi" w:hAnsiTheme="majorBidi" w:cstheme="majorBidi"/>
          <w:i/>
          <w:iCs/>
          <w:sz w:val="24"/>
          <w:szCs w:val="24"/>
        </w:rPr>
        <w:t>Mamluk Studies Review</w:t>
      </w:r>
      <w:r w:rsidR="00244913" w:rsidRPr="005F4383">
        <w:rPr>
          <w:rFonts w:asciiTheme="majorBidi" w:hAnsiTheme="majorBidi" w:cstheme="majorBidi"/>
          <w:sz w:val="24"/>
          <w:szCs w:val="24"/>
        </w:rPr>
        <w:t xml:space="preserve"> 6 (2002), pp. 133-154.</w:t>
      </w:r>
    </w:p>
    <w:p w:rsidR="009632A6" w:rsidRPr="005F4383" w:rsidRDefault="00712E51" w:rsidP="00F91E7D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>תפרוסת יישובית ומפעלי בניה</w:t>
      </w:r>
    </w:p>
    <w:p w:rsidR="009632A6" w:rsidRPr="005F4383" w:rsidRDefault="0079376B" w:rsidP="00F91E7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 xml:space="preserve">קריאה: </w:t>
      </w:r>
      <w:r w:rsidR="009632A6" w:rsidRPr="005F4383">
        <w:rPr>
          <w:rFonts w:asciiTheme="majorBidi" w:hAnsiTheme="majorBidi" w:cstheme="majorBidi"/>
          <w:sz w:val="24"/>
          <w:szCs w:val="24"/>
          <w:rtl/>
        </w:rPr>
        <w:t xml:space="preserve">יהושע פרנקל, "החברה הכפרית בארץ ישראל בתקופה הממלוכית," </w:t>
      </w:r>
      <w:r w:rsidR="009632A6" w:rsidRPr="005F4383">
        <w:rPr>
          <w:rFonts w:asciiTheme="majorBidi" w:hAnsiTheme="majorBidi" w:cstheme="majorBidi"/>
          <w:sz w:val="24"/>
          <w:szCs w:val="24"/>
          <w:u w:val="single"/>
          <w:rtl/>
        </w:rPr>
        <w:t>קתדרה</w:t>
      </w:r>
      <w:r w:rsidR="009632A6" w:rsidRPr="005F4383">
        <w:rPr>
          <w:rFonts w:asciiTheme="majorBidi" w:hAnsiTheme="majorBidi" w:cstheme="majorBidi"/>
          <w:sz w:val="24"/>
          <w:szCs w:val="24"/>
          <w:rtl/>
        </w:rPr>
        <w:t xml:space="preserve"> 77 (1995), עמ' 38-17.</w:t>
      </w:r>
    </w:p>
    <w:p w:rsidR="0079376B" w:rsidRPr="005F4383" w:rsidRDefault="0079376B" w:rsidP="00F91E7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/>
          <w:sz w:val="24"/>
          <w:szCs w:val="24"/>
        </w:rPr>
        <w:t xml:space="preserve">Yehoshua Frenkel, "Public Projection of Power in Mamluk Bilad al-Sham," </w:t>
      </w:r>
      <w:r w:rsidRPr="005F4383">
        <w:rPr>
          <w:rFonts w:asciiTheme="majorBidi" w:hAnsiTheme="majorBidi" w:cstheme="majorBidi"/>
          <w:i/>
          <w:iCs/>
          <w:sz w:val="24"/>
          <w:szCs w:val="24"/>
        </w:rPr>
        <w:t>Mamluk Studies Review</w:t>
      </w:r>
      <w:r w:rsidRPr="005F4383">
        <w:rPr>
          <w:rFonts w:asciiTheme="majorBidi" w:hAnsiTheme="majorBidi" w:cstheme="majorBidi"/>
          <w:sz w:val="24"/>
          <w:szCs w:val="24"/>
        </w:rPr>
        <w:t xml:space="preserve"> 11.1 (2007), pp. 39-53.</w:t>
      </w:r>
    </w:p>
    <w:p w:rsidR="009632A6" w:rsidRPr="005F4383" w:rsidRDefault="009632A6" w:rsidP="00F91E7D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>ירושלים בתקופה הממלוכית</w:t>
      </w:r>
    </w:p>
    <w:p w:rsidR="009632A6" w:rsidRPr="005F4383" w:rsidRDefault="009632A6" w:rsidP="00F91E7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 xml:space="preserve">קריאה: יוסף דרורי, "ירושלים בתקופה הממלוכית," בתוך: </w:t>
      </w:r>
      <w:r w:rsidRPr="005F4383">
        <w:rPr>
          <w:rFonts w:asciiTheme="majorBidi" w:hAnsiTheme="majorBidi" w:cstheme="majorBidi"/>
          <w:sz w:val="24"/>
          <w:szCs w:val="24"/>
          <w:u w:val="single"/>
          <w:rtl/>
        </w:rPr>
        <w:t>פרקים בתולדות ירושלים בימי הביניים</w:t>
      </w:r>
      <w:r w:rsidRPr="005F4383">
        <w:rPr>
          <w:rFonts w:asciiTheme="majorBidi" w:hAnsiTheme="majorBidi" w:cstheme="majorBidi"/>
          <w:sz w:val="24"/>
          <w:szCs w:val="24"/>
          <w:rtl/>
        </w:rPr>
        <w:t>, עורכים ב"ז קדר וצבי ברס (ירושלים, 1979), עמ' 177-148.</w:t>
      </w:r>
    </w:p>
    <w:p w:rsidR="00B00BC0" w:rsidRPr="005F4383" w:rsidRDefault="00B00BC0" w:rsidP="00F91E7D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>נוצרים תחת השלטון הממלוכי</w:t>
      </w:r>
    </w:p>
    <w:p w:rsidR="00B00BC0" w:rsidRPr="005F4383" w:rsidRDefault="00B00BC0" w:rsidP="00F91E7D">
      <w:pPr>
        <w:jc w:val="both"/>
        <w:rPr>
          <w:rFonts w:asciiTheme="majorBidi" w:hAnsiTheme="majorBidi" w:cstheme="majorBidi"/>
          <w:sz w:val="24"/>
          <w:szCs w:val="24"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 xml:space="preserve">קריאה: </w:t>
      </w:r>
      <w:r w:rsidRPr="005F4383">
        <w:rPr>
          <w:rFonts w:asciiTheme="majorBidi" w:hAnsiTheme="majorBidi" w:cstheme="majorBidi"/>
          <w:sz w:val="24"/>
          <w:szCs w:val="24"/>
        </w:rPr>
        <w:t xml:space="preserve">Johannes </w:t>
      </w:r>
      <w:proofErr w:type="spellStart"/>
      <w:r w:rsidRPr="005F4383">
        <w:rPr>
          <w:rFonts w:asciiTheme="majorBidi" w:hAnsiTheme="majorBidi" w:cstheme="majorBidi"/>
          <w:sz w:val="24"/>
          <w:szCs w:val="24"/>
        </w:rPr>
        <w:t>Pahlitzsch</w:t>
      </w:r>
      <w:proofErr w:type="spellEnd"/>
      <w:r w:rsidRPr="005F4383">
        <w:rPr>
          <w:rFonts w:asciiTheme="majorBidi" w:hAnsiTheme="majorBidi" w:cstheme="majorBidi"/>
          <w:sz w:val="24"/>
          <w:szCs w:val="24"/>
        </w:rPr>
        <w:t xml:space="preserve">, "Mediators between East and West: Christians under Mamluk Rule," </w:t>
      </w:r>
      <w:r w:rsidRPr="005F4383">
        <w:rPr>
          <w:rFonts w:asciiTheme="majorBidi" w:hAnsiTheme="majorBidi" w:cstheme="majorBidi"/>
          <w:i/>
          <w:iCs/>
          <w:sz w:val="24"/>
          <w:szCs w:val="24"/>
        </w:rPr>
        <w:t xml:space="preserve">Mamluk Studies Review </w:t>
      </w:r>
      <w:r w:rsidRPr="005F4383">
        <w:rPr>
          <w:rFonts w:asciiTheme="majorBidi" w:hAnsiTheme="majorBidi" w:cstheme="majorBidi"/>
          <w:sz w:val="24"/>
          <w:szCs w:val="24"/>
        </w:rPr>
        <w:t>9.2 (2005), pp. 31-47.</w:t>
      </w:r>
    </w:p>
    <w:p w:rsidR="009C1CB0" w:rsidRPr="005F4383" w:rsidRDefault="0079376B" w:rsidP="00F91E7D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t>יהודים תחת השלטון הממלוכי</w:t>
      </w:r>
    </w:p>
    <w:p w:rsidR="0079376B" w:rsidRPr="005F4383" w:rsidRDefault="0079376B" w:rsidP="00F91E7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/>
          <w:sz w:val="24"/>
          <w:szCs w:val="24"/>
          <w:rtl/>
        </w:rPr>
        <w:lastRenderedPageBreak/>
        <w:t xml:space="preserve">קריאה: אברהם דוד, "ירושלים היהודית," בתוך: </w:t>
      </w:r>
      <w:r w:rsidRPr="005F4383">
        <w:rPr>
          <w:rFonts w:asciiTheme="majorBidi" w:hAnsiTheme="majorBidi" w:cstheme="majorBidi"/>
          <w:sz w:val="24"/>
          <w:szCs w:val="24"/>
          <w:u w:val="single"/>
          <w:rtl/>
        </w:rPr>
        <w:t>ספר ירושלים בתקופה הממלוכית (1517-1260)</w:t>
      </w:r>
      <w:r w:rsidRPr="005F4383">
        <w:rPr>
          <w:rFonts w:asciiTheme="majorBidi" w:hAnsiTheme="majorBidi" w:cstheme="majorBidi"/>
          <w:sz w:val="24"/>
          <w:szCs w:val="24"/>
          <w:rtl/>
        </w:rPr>
        <w:t>, עורכים איוון פרידמן ויוסף דרורי (ירושלים, 2012), עמ' 364-325.</w:t>
      </w:r>
    </w:p>
    <w:p w:rsidR="00947E29" w:rsidRPr="005F4383" w:rsidRDefault="00947E29" w:rsidP="00F91E7D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5F4383">
        <w:rPr>
          <w:rFonts w:asciiTheme="majorBidi" w:hAnsiTheme="majorBidi" w:cstheme="majorBidi" w:hint="cs"/>
          <w:sz w:val="24"/>
          <w:szCs w:val="24"/>
          <w:rtl/>
        </w:rPr>
        <w:t>נפילתה של הסולטנות</w:t>
      </w:r>
    </w:p>
    <w:p w:rsidR="00947E29" w:rsidRPr="005F4383" w:rsidRDefault="00947E29" w:rsidP="00F91E7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 w:hint="cs"/>
          <w:sz w:val="24"/>
          <w:szCs w:val="24"/>
          <w:rtl/>
        </w:rPr>
        <w:t xml:space="preserve">קריאה: </w:t>
      </w:r>
      <w:r w:rsidR="00C45207" w:rsidRPr="005F4383">
        <w:rPr>
          <w:rFonts w:asciiTheme="majorBidi" w:hAnsiTheme="majorBidi" w:cstheme="majorBidi"/>
          <w:sz w:val="24"/>
          <w:szCs w:val="24"/>
        </w:rPr>
        <w:t xml:space="preserve">P.M. Holt, </w:t>
      </w:r>
      <w:r w:rsidR="00C45207" w:rsidRPr="005F4383">
        <w:rPr>
          <w:rFonts w:asciiTheme="majorBidi" w:hAnsiTheme="majorBidi" w:cstheme="majorBidi"/>
          <w:i/>
          <w:iCs/>
          <w:sz w:val="24"/>
          <w:szCs w:val="24"/>
        </w:rPr>
        <w:t>The Age of the Crusades: The Near East from the Eleventh century to 1517</w:t>
      </w:r>
      <w:r w:rsidR="00C45207" w:rsidRPr="005F4383">
        <w:rPr>
          <w:rFonts w:asciiTheme="majorBidi" w:hAnsiTheme="majorBidi" w:cstheme="majorBidi"/>
          <w:sz w:val="24"/>
          <w:szCs w:val="24"/>
        </w:rPr>
        <w:t xml:space="preserve"> (London, 1986), pp. 178-202.</w:t>
      </w:r>
    </w:p>
    <w:p w:rsidR="00BE789D" w:rsidRPr="005F4383" w:rsidRDefault="00BE789D" w:rsidP="00F91E7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 w:hint="cs"/>
          <w:sz w:val="24"/>
          <w:szCs w:val="24"/>
          <w:rtl/>
        </w:rPr>
        <w:t xml:space="preserve">חובות: </w:t>
      </w:r>
    </w:p>
    <w:p w:rsidR="00BE789D" w:rsidRPr="005F4383" w:rsidRDefault="00BE789D" w:rsidP="00F91E7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 w:hint="cs"/>
          <w:sz w:val="24"/>
          <w:szCs w:val="24"/>
          <w:rtl/>
        </w:rPr>
        <w:t xml:space="preserve">קריאת החומר </w:t>
      </w:r>
      <w:r w:rsidR="00EF3ECC" w:rsidRPr="005F4383">
        <w:rPr>
          <w:rFonts w:asciiTheme="majorBidi" w:hAnsiTheme="majorBidi" w:cstheme="majorBidi" w:hint="cs"/>
          <w:sz w:val="24"/>
          <w:szCs w:val="24"/>
          <w:rtl/>
        </w:rPr>
        <w:t>ו</w:t>
      </w:r>
      <w:r w:rsidRPr="005F4383">
        <w:rPr>
          <w:rFonts w:asciiTheme="majorBidi" w:hAnsiTheme="majorBidi" w:cstheme="majorBidi" w:hint="cs"/>
          <w:sz w:val="24"/>
          <w:szCs w:val="24"/>
          <w:rtl/>
        </w:rPr>
        <w:t>עמידה במבחן.</w:t>
      </w:r>
    </w:p>
    <w:p w:rsidR="00BE789D" w:rsidRPr="005F4383" w:rsidRDefault="00BE789D" w:rsidP="00F91E7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 w:hint="cs"/>
          <w:sz w:val="24"/>
          <w:szCs w:val="24"/>
          <w:rtl/>
        </w:rPr>
        <w:t>חומר מחייב:</w:t>
      </w:r>
    </w:p>
    <w:p w:rsidR="00BE789D" w:rsidRPr="005F4383" w:rsidRDefault="00BE789D" w:rsidP="00F91E7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5F4383">
        <w:rPr>
          <w:rFonts w:asciiTheme="majorBidi" w:hAnsiTheme="majorBidi" w:cstheme="majorBidi" w:hint="cs"/>
          <w:sz w:val="24"/>
          <w:szCs w:val="24"/>
          <w:rtl/>
        </w:rPr>
        <w:t>הנאמר בכיתה וחומר הקריאה</w:t>
      </w:r>
      <w:r w:rsidR="000C1B2E" w:rsidRPr="005F4383">
        <w:rPr>
          <w:rFonts w:asciiTheme="majorBidi" w:hAnsiTheme="majorBidi" w:cstheme="majorBidi" w:hint="cs"/>
          <w:sz w:val="24"/>
          <w:szCs w:val="24"/>
          <w:rtl/>
        </w:rPr>
        <w:t>.</w:t>
      </w:r>
    </w:p>
    <w:sectPr w:rsidR="00BE789D" w:rsidRPr="005F4383" w:rsidSect="00804A6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244B5"/>
    <w:multiLevelType w:val="hybridMultilevel"/>
    <w:tmpl w:val="0C2AEE74"/>
    <w:lvl w:ilvl="0" w:tplc="6856199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F3F06"/>
    <w:multiLevelType w:val="hybridMultilevel"/>
    <w:tmpl w:val="8D709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86"/>
    <w:rsid w:val="00005785"/>
    <w:rsid w:val="00032E84"/>
    <w:rsid w:val="000558E4"/>
    <w:rsid w:val="00061E2B"/>
    <w:rsid w:val="00092805"/>
    <w:rsid w:val="000B5EE6"/>
    <w:rsid w:val="000C1B2E"/>
    <w:rsid w:val="00124C24"/>
    <w:rsid w:val="001E4AD4"/>
    <w:rsid w:val="00244913"/>
    <w:rsid w:val="002F781B"/>
    <w:rsid w:val="00332886"/>
    <w:rsid w:val="00371870"/>
    <w:rsid w:val="003C3703"/>
    <w:rsid w:val="00416D00"/>
    <w:rsid w:val="0044619C"/>
    <w:rsid w:val="004920C4"/>
    <w:rsid w:val="00552741"/>
    <w:rsid w:val="005B4770"/>
    <w:rsid w:val="005C2445"/>
    <w:rsid w:val="005C36E6"/>
    <w:rsid w:val="005F4383"/>
    <w:rsid w:val="00614A24"/>
    <w:rsid w:val="006322F9"/>
    <w:rsid w:val="006A7CFF"/>
    <w:rsid w:val="00712E51"/>
    <w:rsid w:val="00736594"/>
    <w:rsid w:val="00740AF8"/>
    <w:rsid w:val="00741EE2"/>
    <w:rsid w:val="0078075A"/>
    <w:rsid w:val="0079376B"/>
    <w:rsid w:val="007A15F5"/>
    <w:rsid w:val="007B46A9"/>
    <w:rsid w:val="00804A61"/>
    <w:rsid w:val="008463C3"/>
    <w:rsid w:val="0086304D"/>
    <w:rsid w:val="008703FD"/>
    <w:rsid w:val="008E063E"/>
    <w:rsid w:val="00947E29"/>
    <w:rsid w:val="009632A6"/>
    <w:rsid w:val="009C1CB0"/>
    <w:rsid w:val="00A03E6A"/>
    <w:rsid w:val="00A77134"/>
    <w:rsid w:val="00A77824"/>
    <w:rsid w:val="00A92F65"/>
    <w:rsid w:val="00B00BC0"/>
    <w:rsid w:val="00B1458F"/>
    <w:rsid w:val="00B22661"/>
    <w:rsid w:val="00B276B0"/>
    <w:rsid w:val="00B66F34"/>
    <w:rsid w:val="00B7181D"/>
    <w:rsid w:val="00BE789D"/>
    <w:rsid w:val="00BF4056"/>
    <w:rsid w:val="00C10BE7"/>
    <w:rsid w:val="00C45207"/>
    <w:rsid w:val="00C4682E"/>
    <w:rsid w:val="00C52A24"/>
    <w:rsid w:val="00C63F2B"/>
    <w:rsid w:val="00CD3720"/>
    <w:rsid w:val="00D14C89"/>
    <w:rsid w:val="00DE2162"/>
    <w:rsid w:val="00DF4A36"/>
    <w:rsid w:val="00E2105D"/>
    <w:rsid w:val="00E2162D"/>
    <w:rsid w:val="00E901C1"/>
    <w:rsid w:val="00EB6697"/>
    <w:rsid w:val="00EF3ECC"/>
    <w:rsid w:val="00F1698D"/>
    <w:rsid w:val="00F91E7D"/>
    <w:rsid w:val="00F96F59"/>
    <w:rsid w:val="00FB3002"/>
    <w:rsid w:val="00FC78E9"/>
    <w:rsid w:val="00FD011E"/>
    <w:rsid w:val="00FD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E8558-46C2-42D1-BFFE-7E331762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63E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E216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162D"/>
  </w:style>
  <w:style w:type="paragraph" w:styleId="a4">
    <w:name w:val="Balloon Text"/>
    <w:basedOn w:val="a"/>
    <w:link w:val="a5"/>
    <w:uiPriority w:val="99"/>
    <w:semiHidden/>
    <w:unhideWhenUsed/>
    <w:rsid w:val="00B7181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B7181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D70D-D5A1-43B4-BCFC-BB095422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Israel Dept</cp:lastModifiedBy>
  <cp:revision>5</cp:revision>
  <cp:lastPrinted>2018-04-23T09:01:00Z</cp:lastPrinted>
  <dcterms:created xsi:type="dcterms:W3CDTF">2018-04-17T12:30:00Z</dcterms:created>
  <dcterms:modified xsi:type="dcterms:W3CDTF">2018-04-23T09:07:00Z</dcterms:modified>
</cp:coreProperties>
</file>