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DE" w:rsidRPr="009F18DE" w:rsidRDefault="00F50C9C" w:rsidP="0034295B">
      <w:pPr>
        <w:spacing w:after="0" w:line="360" w:lineRule="auto"/>
        <w:jc w:val="center"/>
        <w:rPr>
          <w:rFonts w:asciiTheme="majorBidi" w:hAnsiTheme="majorBidi" w:cstheme="majorBidi"/>
          <w:b/>
          <w:bCs/>
          <w:color w:val="000000"/>
          <w:sz w:val="36"/>
          <w:szCs w:val="36"/>
          <w:shd w:val="clear" w:color="auto" w:fill="FFFFFF"/>
          <w:rtl/>
        </w:rPr>
      </w:pPr>
      <w:r w:rsidRPr="009F18DE">
        <w:rPr>
          <w:rFonts w:asciiTheme="majorBidi" w:hAnsiTheme="majorBidi" w:cstheme="majorBidi"/>
          <w:b/>
          <w:bCs/>
          <w:color w:val="000000"/>
          <w:sz w:val="36"/>
          <w:szCs w:val="36"/>
          <w:shd w:val="clear" w:color="auto" w:fill="FFFFFF"/>
          <w:rtl/>
        </w:rPr>
        <w:t xml:space="preserve">שם הקורס: </w:t>
      </w:r>
    </w:p>
    <w:p w:rsidR="00F50C9C" w:rsidRPr="009F18DE" w:rsidRDefault="000835CD" w:rsidP="0034295B">
      <w:pPr>
        <w:spacing w:after="0" w:line="360" w:lineRule="auto"/>
        <w:jc w:val="center"/>
        <w:rPr>
          <w:rFonts w:asciiTheme="majorBidi" w:hAnsiTheme="majorBidi" w:cstheme="majorBidi"/>
          <w:b/>
          <w:bCs/>
          <w:color w:val="000000"/>
          <w:sz w:val="36"/>
          <w:szCs w:val="36"/>
          <w:shd w:val="clear" w:color="auto" w:fill="FFFFFF"/>
          <w:rtl/>
        </w:rPr>
      </w:pPr>
      <w:r w:rsidRPr="009F18DE">
        <w:rPr>
          <w:rFonts w:asciiTheme="majorBidi" w:hAnsiTheme="majorBidi" w:cstheme="majorBidi"/>
          <w:b/>
          <w:bCs/>
          <w:color w:val="000000"/>
          <w:sz w:val="36"/>
          <w:szCs w:val="36"/>
          <w:shd w:val="clear" w:color="auto" w:fill="FFFFFF"/>
          <w:rtl/>
        </w:rPr>
        <w:t>בית המקדש והחברה היהודית בימי הבי</w:t>
      </w:r>
      <w:r w:rsidR="00F50C9C" w:rsidRPr="009F18DE">
        <w:rPr>
          <w:rFonts w:asciiTheme="majorBidi" w:hAnsiTheme="majorBidi" w:cstheme="majorBidi"/>
          <w:b/>
          <w:bCs/>
          <w:color w:val="000000"/>
          <w:sz w:val="36"/>
          <w:szCs w:val="36"/>
          <w:shd w:val="clear" w:color="auto" w:fill="FFFFFF"/>
          <w:rtl/>
        </w:rPr>
        <w:t>ת</w:t>
      </w:r>
      <w:r w:rsidRPr="009F18DE">
        <w:rPr>
          <w:rFonts w:asciiTheme="majorBidi" w:hAnsiTheme="majorBidi" w:cstheme="majorBidi"/>
          <w:b/>
          <w:bCs/>
          <w:color w:val="000000"/>
          <w:sz w:val="36"/>
          <w:szCs w:val="36"/>
          <w:shd w:val="clear" w:color="auto" w:fill="FFFFFF"/>
          <w:rtl/>
        </w:rPr>
        <w:t xml:space="preserve"> השני</w:t>
      </w:r>
    </w:p>
    <w:p w:rsidR="00F50C9C" w:rsidRPr="009F18DE" w:rsidRDefault="00F50C9C" w:rsidP="0034295B">
      <w:pPr>
        <w:spacing w:after="0" w:line="360" w:lineRule="auto"/>
        <w:jc w:val="center"/>
        <w:rPr>
          <w:rFonts w:asciiTheme="majorBidi" w:hAnsiTheme="majorBidi" w:cstheme="majorBidi"/>
          <w:b/>
          <w:bCs/>
          <w:color w:val="000000"/>
          <w:sz w:val="36"/>
          <w:szCs w:val="36"/>
          <w:shd w:val="clear" w:color="auto" w:fill="FFFFFF"/>
          <w:rtl/>
        </w:rPr>
      </w:pPr>
      <w:r w:rsidRPr="009F18DE">
        <w:rPr>
          <w:rFonts w:asciiTheme="majorBidi" w:hAnsiTheme="majorBidi" w:cstheme="majorBidi"/>
          <w:b/>
          <w:bCs/>
          <w:color w:val="000000"/>
          <w:sz w:val="36"/>
          <w:szCs w:val="36"/>
          <w:shd w:val="clear" w:color="auto" w:fill="FFFFFF"/>
          <w:rtl/>
        </w:rPr>
        <w:t>מספר הקורס: 16-549</w:t>
      </w:r>
    </w:p>
    <w:p w:rsidR="009D37C3" w:rsidRDefault="00F50C9C" w:rsidP="002A6229">
      <w:pPr>
        <w:spacing w:after="0" w:line="360" w:lineRule="auto"/>
        <w:jc w:val="center"/>
        <w:rPr>
          <w:rFonts w:asciiTheme="majorBidi" w:hAnsiTheme="majorBidi" w:cstheme="majorBidi"/>
          <w:sz w:val="24"/>
          <w:szCs w:val="24"/>
          <w:rtl/>
        </w:rPr>
      </w:pPr>
      <w:r w:rsidRPr="0034295B">
        <w:rPr>
          <w:rFonts w:asciiTheme="majorBidi" w:hAnsiTheme="majorBidi" w:cstheme="majorBidi"/>
          <w:sz w:val="24"/>
          <w:szCs w:val="24"/>
          <w:rtl/>
        </w:rPr>
        <w:t>שם המרצה: פרופ' איל רגב</w:t>
      </w:r>
    </w:p>
    <w:p w:rsidR="009D37C3" w:rsidRPr="002E026B" w:rsidRDefault="009D37C3" w:rsidP="009D37C3">
      <w:pPr>
        <w:spacing w:line="360" w:lineRule="auto"/>
        <w:jc w:val="center"/>
        <w:rPr>
          <w:rFonts w:ascii="Arial" w:hAnsi="Arial" w:cs="Arial"/>
          <w:rtl/>
        </w:rPr>
      </w:pPr>
      <w:r w:rsidRPr="002E026B">
        <w:rPr>
          <w:rFonts w:ascii="Arial" w:hAnsi="Arial" w:cs="Arial"/>
          <w:b/>
          <w:bCs/>
          <w:rtl/>
        </w:rPr>
        <w:t>סוג הקורס:</w:t>
      </w:r>
      <w:r>
        <w:rPr>
          <w:rFonts w:ascii="Arial" w:hAnsi="Arial" w:cs="Arial"/>
          <w:rtl/>
        </w:rPr>
        <w:t xml:space="preserve"> </w:t>
      </w:r>
      <w:r>
        <w:rPr>
          <w:rFonts w:ascii="Arial" w:hAnsi="Arial" w:cs="Arial" w:hint="cs"/>
          <w:rtl/>
        </w:rPr>
        <w:t>הרצאה</w:t>
      </w:r>
    </w:p>
    <w:p w:rsidR="009D37C3" w:rsidRPr="002E026B" w:rsidRDefault="009D37C3" w:rsidP="009D37C3">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sidR="002A6229">
        <w:rPr>
          <w:rFonts w:ascii="Arial" w:hAnsi="Arial" w:cs="Arial" w:hint="cs"/>
          <w:rtl/>
        </w:rPr>
        <w:t>תש"פ</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sidR="002A6229">
        <w:rPr>
          <w:rFonts w:ascii="Arial" w:hAnsi="Arial" w:cs="Arial"/>
          <w:rtl/>
        </w:rPr>
        <w:t xml:space="preserve"> </w:t>
      </w:r>
      <w:r w:rsidR="002A6229">
        <w:rPr>
          <w:rFonts w:ascii="Arial" w:hAnsi="Arial" w:cs="Arial" w:hint="cs"/>
          <w:rtl/>
        </w:rPr>
        <w:t>ב'</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2A6229">
        <w:rPr>
          <w:rFonts w:ascii="Arial" w:hAnsi="Arial" w:cs="Arial" w:hint="cs"/>
          <w:rtl/>
        </w:rPr>
        <w:t>1 ש"ש</w:t>
      </w:r>
    </w:p>
    <w:p w:rsidR="00F50C9C" w:rsidRPr="0034295B" w:rsidRDefault="009D37C3" w:rsidP="002A6229">
      <w:pPr>
        <w:spacing w:after="0" w:line="360" w:lineRule="auto"/>
        <w:rPr>
          <w:rFonts w:asciiTheme="majorBidi" w:hAnsiTheme="majorBidi" w:cstheme="majorBidi"/>
          <w:sz w:val="24"/>
          <w:szCs w:val="24"/>
          <w:rtl/>
        </w:rPr>
      </w:pPr>
      <w:r>
        <w:rPr>
          <w:rFonts w:ascii="Arial" w:hAnsi="Arial" w:cs="Arial"/>
          <w:b/>
          <w:bCs/>
          <w:rtl/>
        </w:rPr>
        <w:t xml:space="preserve"> </w:t>
      </w:r>
      <w:r w:rsidRPr="008E696B">
        <w:rPr>
          <w:rFonts w:ascii="Arial" w:hAnsi="Arial" w:cs="Arial"/>
          <w:b/>
          <w:bCs/>
          <w:rtl/>
        </w:rPr>
        <w:t>אתר הקורס באינטרנט:</w:t>
      </w:r>
      <w:r w:rsidR="002A6229">
        <w:rPr>
          <w:rFonts w:ascii="Arial" w:hAnsi="Arial" w:cs="Arial"/>
          <w:rtl/>
        </w:rPr>
        <w:t xml:space="preserve">    </w:t>
      </w:r>
      <w:bookmarkStart w:id="0" w:name="_GoBack"/>
      <w:bookmarkEnd w:id="0"/>
      <w:r w:rsidR="0034295B">
        <w:rPr>
          <w:rFonts w:asciiTheme="majorBidi" w:hAnsiTheme="majorBidi" w:cstheme="majorBidi" w:hint="cs"/>
          <w:sz w:val="24"/>
          <w:szCs w:val="24"/>
          <w:rtl/>
        </w:rPr>
        <w:t>אתר מלווה במודל</w:t>
      </w:r>
    </w:p>
    <w:p w:rsidR="0034295B" w:rsidRDefault="0034295B" w:rsidP="0034295B">
      <w:pPr>
        <w:spacing w:after="0" w:line="360" w:lineRule="auto"/>
        <w:rPr>
          <w:rFonts w:asciiTheme="majorBidi" w:hAnsiTheme="majorBidi" w:cstheme="majorBidi"/>
          <w:sz w:val="24"/>
          <w:szCs w:val="24"/>
          <w:rtl/>
        </w:rPr>
      </w:pPr>
    </w:p>
    <w:p w:rsidR="00F50C9C" w:rsidRPr="0034295B" w:rsidRDefault="00F50C9C" w:rsidP="0034295B">
      <w:pPr>
        <w:spacing w:after="0" w:line="360" w:lineRule="auto"/>
        <w:rPr>
          <w:rFonts w:asciiTheme="majorBidi" w:hAnsiTheme="majorBidi" w:cstheme="majorBidi"/>
          <w:b/>
          <w:bCs/>
          <w:sz w:val="24"/>
          <w:szCs w:val="24"/>
          <w:rtl/>
        </w:rPr>
      </w:pPr>
      <w:r w:rsidRPr="0034295B">
        <w:rPr>
          <w:rFonts w:asciiTheme="majorBidi" w:hAnsiTheme="majorBidi" w:cstheme="majorBidi"/>
          <w:b/>
          <w:bCs/>
          <w:sz w:val="24"/>
          <w:szCs w:val="24"/>
          <w:rtl/>
        </w:rPr>
        <w:t>מטרת הקורס</w:t>
      </w:r>
    </w:p>
    <w:p w:rsidR="00F50C9C" w:rsidRPr="0034295B" w:rsidRDefault="00F31438" w:rsidP="00F31438">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הכרת בית המקדש והר הבית הן מבחינה ארכיאולוגית הן מבחינה היסטורית. דגש על האופן בו תהליכים חברתיים דתיים ופוליטיים משפיעים על המקדש ועבודתו, וכיצד הר הבית והיחס אליו על ידי שליטים שונים וכיתות וקבוצות שונות מעצב את תולדות היהודים בארץ-ישראל בימי בית שני. היכרות עם מקורות מגוונים: </w:t>
      </w:r>
      <w:proofErr w:type="spellStart"/>
      <w:r>
        <w:rPr>
          <w:rFonts w:asciiTheme="majorBidi" w:hAnsiTheme="majorBidi" w:cstheme="majorBidi" w:hint="cs"/>
          <w:sz w:val="24"/>
          <w:szCs w:val="24"/>
          <w:rtl/>
        </w:rPr>
        <w:t>דוחו"ת</w:t>
      </w:r>
      <w:proofErr w:type="spellEnd"/>
      <w:r>
        <w:rPr>
          <w:rFonts w:asciiTheme="majorBidi" w:hAnsiTheme="majorBidi" w:cstheme="majorBidi" w:hint="cs"/>
          <w:sz w:val="24"/>
          <w:szCs w:val="24"/>
          <w:rtl/>
        </w:rPr>
        <w:t xml:space="preserve"> ארכיאולוגיים, יוסף בן מתתיהו, ספרות חיצונית, מקורות הלניסטיים ורומיים, ברית חדשה וספרות חז"ל. ניסיון לשחזור ארכיטקטוני, היסטורי וחברתי מקיף של המקדש כמוסד ויהדות בית שני כמכלול הבנוי סביב המקדש ועבודתו.</w:t>
      </w:r>
    </w:p>
    <w:p w:rsidR="00F50C9C" w:rsidRPr="0034295B" w:rsidRDefault="00F50C9C" w:rsidP="0034295B">
      <w:pPr>
        <w:spacing w:after="0" w:line="360" w:lineRule="auto"/>
        <w:rPr>
          <w:rFonts w:asciiTheme="majorBidi" w:hAnsiTheme="majorBidi" w:cstheme="majorBidi"/>
          <w:sz w:val="24"/>
          <w:szCs w:val="24"/>
          <w:rtl/>
        </w:rPr>
      </w:pPr>
    </w:p>
    <w:p w:rsidR="00F50C9C" w:rsidRPr="0034295B" w:rsidRDefault="00F50C9C" w:rsidP="0034295B">
      <w:pPr>
        <w:spacing w:after="0" w:line="360" w:lineRule="auto"/>
        <w:ind w:left="26"/>
        <w:jc w:val="both"/>
        <w:rPr>
          <w:rFonts w:asciiTheme="majorBidi" w:hAnsiTheme="majorBidi" w:cstheme="majorBidi"/>
          <w:sz w:val="24"/>
          <w:szCs w:val="24"/>
          <w:rtl/>
        </w:rPr>
      </w:pPr>
      <w:r w:rsidRPr="0034295B">
        <w:rPr>
          <w:rFonts w:asciiTheme="majorBidi" w:hAnsiTheme="majorBidi" w:cstheme="majorBidi"/>
          <w:b/>
          <w:bCs/>
          <w:sz w:val="24"/>
          <w:szCs w:val="24"/>
          <w:rtl/>
        </w:rPr>
        <w:t xml:space="preserve">תכנית הוראה מפורטת לכל השיעורים: </w:t>
      </w:r>
      <w:r w:rsidRPr="0034295B">
        <w:rPr>
          <w:rFonts w:asciiTheme="majorBidi" w:hAnsiTheme="majorBidi" w:cstheme="majorBidi"/>
          <w:sz w:val="24"/>
          <w:szCs w:val="24"/>
          <w:rtl/>
        </w:rPr>
        <w:t>(</w:t>
      </w:r>
      <w:r w:rsidR="00F31438">
        <w:rPr>
          <w:rFonts w:asciiTheme="majorBidi" w:hAnsiTheme="majorBidi" w:cstheme="majorBidi" w:hint="cs"/>
          <w:sz w:val="24"/>
          <w:szCs w:val="24"/>
          <w:rtl/>
        </w:rPr>
        <w:t>ו</w:t>
      </w:r>
      <w:r w:rsidRPr="0034295B">
        <w:rPr>
          <w:rFonts w:asciiTheme="majorBidi" w:hAnsiTheme="majorBidi" w:cstheme="majorBidi"/>
          <w:sz w:val="24"/>
          <w:szCs w:val="24"/>
          <w:rtl/>
        </w:rPr>
        <w:t>מטלות קריאה)</w:t>
      </w:r>
    </w:p>
    <w:p w:rsidR="0034295B" w:rsidRPr="0034295B" w:rsidRDefault="0034295B"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המקדש בתקופה הפרסית, החשמונאית וההרודיאנית (שני שיעורים)</w:t>
      </w:r>
    </w:p>
    <w:p w:rsidR="00F50C9C" w:rsidRPr="0034295B" w:rsidRDefault="00F50C9C"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הארכיאולוגיה של הר הבית</w:t>
      </w:r>
    </w:p>
    <w:p w:rsidR="00F50C9C" w:rsidRPr="0034295B" w:rsidRDefault="00F50C9C"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שחזור היסטורי של תוכנית בית המקדש והר הבית</w:t>
      </w:r>
    </w:p>
    <w:p w:rsidR="0038131E" w:rsidRPr="0034295B" w:rsidRDefault="00F31438" w:rsidP="0034295B">
      <w:pPr>
        <w:pStyle w:val="a6"/>
        <w:rPr>
          <w:rFonts w:asciiTheme="majorBidi" w:hAnsiTheme="majorBidi" w:cstheme="majorBidi"/>
          <w:sz w:val="24"/>
          <w:rtl/>
        </w:rPr>
      </w:pPr>
      <w:r>
        <w:rPr>
          <w:rFonts w:asciiTheme="majorBidi" w:hAnsiTheme="majorBidi" w:cstheme="majorBidi" w:hint="cs"/>
          <w:sz w:val="24"/>
          <w:rtl/>
        </w:rPr>
        <w:tab/>
      </w:r>
      <w:r>
        <w:rPr>
          <w:rFonts w:asciiTheme="majorBidi" w:hAnsiTheme="majorBidi" w:cstheme="majorBidi" w:hint="cs"/>
          <w:sz w:val="24"/>
          <w:rtl/>
        </w:rPr>
        <w:tab/>
      </w:r>
      <w:r>
        <w:rPr>
          <w:rFonts w:asciiTheme="majorBidi" w:hAnsiTheme="majorBidi" w:cstheme="majorBidi" w:hint="cs"/>
          <w:sz w:val="24"/>
          <w:rtl/>
        </w:rPr>
        <w:tab/>
      </w:r>
      <w:r w:rsidR="0038131E" w:rsidRPr="0034295B">
        <w:rPr>
          <w:rFonts w:asciiTheme="majorBidi" w:hAnsiTheme="majorBidi" w:cstheme="majorBidi"/>
          <w:sz w:val="24"/>
          <w:rtl/>
        </w:rPr>
        <w:t xml:space="preserve">קריאת חובה: . לוין </w:t>
      </w:r>
      <w:proofErr w:type="spellStart"/>
      <w:r w:rsidR="0038131E" w:rsidRPr="0034295B">
        <w:rPr>
          <w:rFonts w:asciiTheme="majorBidi" w:hAnsiTheme="majorBidi" w:cstheme="majorBidi"/>
          <w:sz w:val="24"/>
          <w:rtl/>
        </w:rPr>
        <w:t>י"ל</w:t>
      </w:r>
      <w:proofErr w:type="spellEnd"/>
      <w:r w:rsidR="0038131E" w:rsidRPr="0034295B">
        <w:rPr>
          <w:rFonts w:asciiTheme="majorBidi" w:hAnsiTheme="majorBidi" w:cstheme="majorBidi"/>
          <w:sz w:val="24"/>
          <w:rtl/>
        </w:rPr>
        <w:t>, 'בית המקדש בירושלים: תיאורי יוסף בן מתתיהו ומקורות אחרים', קתדרה 77 (תשנ"ו), עמ' 3-16.</w:t>
      </w:r>
    </w:p>
    <w:p w:rsidR="00F50C9C" w:rsidRPr="0034295B" w:rsidRDefault="00F50C9C"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סדר עבודת המקדש – מקורות בית שני וספרות חז"ל</w:t>
      </w:r>
    </w:p>
    <w:p w:rsidR="00614111" w:rsidRPr="0034295B" w:rsidRDefault="00614111" w:rsidP="00F31438">
      <w:pPr>
        <w:spacing w:after="0" w:line="360" w:lineRule="auto"/>
        <w:ind w:left="1080" w:firstLine="360"/>
        <w:rPr>
          <w:rFonts w:asciiTheme="majorBidi" w:hAnsiTheme="majorBidi" w:cstheme="majorBidi"/>
          <w:sz w:val="24"/>
          <w:szCs w:val="24"/>
        </w:rPr>
      </w:pPr>
      <w:r w:rsidRPr="0034295B">
        <w:rPr>
          <w:rFonts w:asciiTheme="majorBidi" w:hAnsiTheme="majorBidi" w:cstheme="majorBidi"/>
          <w:sz w:val="24"/>
          <w:szCs w:val="24"/>
          <w:rtl/>
        </w:rPr>
        <w:t xml:space="preserve">קריאת חובה: משנה, מסכת תמיד </w:t>
      </w:r>
    </w:p>
    <w:p w:rsidR="000A0ED8" w:rsidRPr="0034295B" w:rsidRDefault="000A0ED8"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המשמעות הדתית של עבודת הקורבנות</w:t>
      </w:r>
    </w:p>
    <w:p w:rsidR="000A0ED8" w:rsidRPr="0034295B" w:rsidRDefault="00F31438" w:rsidP="0034295B">
      <w:pPr>
        <w:pStyle w:val="a6"/>
        <w:rPr>
          <w:rFonts w:asciiTheme="majorBidi" w:hAnsiTheme="majorBidi" w:cstheme="majorBidi"/>
          <w:sz w:val="24"/>
          <w:rtl/>
        </w:rPr>
      </w:pPr>
      <w:r>
        <w:rPr>
          <w:rFonts w:asciiTheme="majorBidi" w:hAnsiTheme="majorBidi" w:cstheme="majorBidi" w:hint="cs"/>
          <w:sz w:val="24"/>
          <w:rtl/>
        </w:rPr>
        <w:tab/>
      </w:r>
      <w:r>
        <w:rPr>
          <w:rFonts w:asciiTheme="majorBidi" w:hAnsiTheme="majorBidi" w:cstheme="majorBidi" w:hint="cs"/>
          <w:sz w:val="24"/>
          <w:rtl/>
        </w:rPr>
        <w:tab/>
      </w:r>
      <w:r>
        <w:rPr>
          <w:rFonts w:asciiTheme="majorBidi" w:hAnsiTheme="majorBidi" w:cstheme="majorBidi" w:hint="cs"/>
          <w:sz w:val="24"/>
          <w:rtl/>
        </w:rPr>
        <w:tab/>
      </w:r>
      <w:r w:rsidR="000A0ED8" w:rsidRPr="0034295B">
        <w:rPr>
          <w:rFonts w:asciiTheme="majorBidi" w:hAnsiTheme="majorBidi" w:cstheme="majorBidi"/>
          <w:sz w:val="24"/>
          <w:rtl/>
        </w:rPr>
        <w:t xml:space="preserve">קריאת חובה: </w:t>
      </w:r>
      <w:proofErr w:type="spellStart"/>
      <w:r w:rsidR="000A0ED8" w:rsidRPr="0034295B">
        <w:rPr>
          <w:rFonts w:asciiTheme="majorBidi" w:hAnsiTheme="majorBidi" w:cstheme="majorBidi"/>
          <w:sz w:val="24"/>
          <w:rtl/>
        </w:rPr>
        <w:t>מילגרום</w:t>
      </w:r>
      <w:proofErr w:type="spellEnd"/>
      <w:r w:rsidR="000A0ED8" w:rsidRPr="0034295B">
        <w:rPr>
          <w:rFonts w:asciiTheme="majorBidi" w:hAnsiTheme="majorBidi" w:cstheme="majorBidi"/>
          <w:sz w:val="24"/>
          <w:rtl/>
        </w:rPr>
        <w:t xml:space="preserve"> י', 'תפקיד קורבן החטאת', תרביץ לא (תש"ל), עמ' 1-8.</w:t>
      </w:r>
    </w:p>
    <w:p w:rsidR="0038131E" w:rsidRPr="0034295B" w:rsidRDefault="0038131E"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חסידות דתית ותפילה במקדש</w:t>
      </w:r>
    </w:p>
    <w:p w:rsidR="00614111" w:rsidRPr="0034295B" w:rsidRDefault="00614111" w:rsidP="00F31438">
      <w:pPr>
        <w:spacing w:after="0" w:line="360" w:lineRule="auto"/>
        <w:ind w:left="1080"/>
        <w:jc w:val="both"/>
        <w:rPr>
          <w:rFonts w:asciiTheme="majorBidi" w:hAnsiTheme="majorBidi" w:cstheme="majorBidi"/>
          <w:sz w:val="24"/>
          <w:szCs w:val="24"/>
        </w:rPr>
      </w:pPr>
      <w:r w:rsidRPr="0034295B">
        <w:rPr>
          <w:rFonts w:asciiTheme="majorBidi" w:hAnsiTheme="majorBidi" w:cstheme="majorBidi"/>
          <w:sz w:val="24"/>
          <w:szCs w:val="24"/>
          <w:rtl/>
        </w:rPr>
        <w:t xml:space="preserve">קריאת חובה: רגב, א', </w:t>
      </w:r>
      <w:r w:rsidRPr="0034295B">
        <w:rPr>
          <w:rFonts w:asciiTheme="majorBidi" w:hAnsiTheme="majorBidi" w:cstheme="majorBidi"/>
          <w:noProof/>
          <w:sz w:val="24"/>
          <w:szCs w:val="24"/>
          <w:rtl/>
        </w:rPr>
        <w:t xml:space="preserve">'זבחי צדק: הביקור במקדש והבאת קורבן כחוויה דתית במזמורי תהילים', </w:t>
      </w:r>
      <w:r w:rsidRPr="0034295B">
        <w:rPr>
          <w:rFonts w:asciiTheme="majorBidi" w:hAnsiTheme="majorBidi" w:cstheme="majorBidi"/>
          <w:i/>
          <w:iCs/>
          <w:noProof/>
          <w:sz w:val="24"/>
          <w:szCs w:val="24"/>
          <w:rtl/>
        </w:rPr>
        <w:t>תרביץ</w:t>
      </w:r>
      <w:r w:rsidRPr="0034295B">
        <w:rPr>
          <w:rFonts w:asciiTheme="majorBidi" w:hAnsiTheme="majorBidi" w:cstheme="majorBidi"/>
          <w:noProof/>
          <w:sz w:val="24"/>
          <w:szCs w:val="24"/>
          <w:rtl/>
        </w:rPr>
        <w:t xml:space="preserve"> עג, ג (תשס"ד), עמ' 365-386.</w:t>
      </w:r>
    </w:p>
    <w:p w:rsidR="00F50C9C" w:rsidRPr="0034295B" w:rsidRDefault="00F50C9C"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בית המקדש – מוסד של כוהנים? מי ניהל אותו?</w:t>
      </w:r>
    </w:p>
    <w:p w:rsidR="0038131E" w:rsidRPr="0034295B" w:rsidRDefault="0038131E"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פרשיות ומשברים בתולדות בית המקדש</w:t>
      </w:r>
    </w:p>
    <w:p w:rsidR="00F50C9C" w:rsidRPr="0034295B" w:rsidRDefault="00F50C9C"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lastRenderedPageBreak/>
        <w:t>מחלוקות בין הכיתות על בית המקדש: צדוקים, פרושים וכתות קומראן</w:t>
      </w:r>
      <w:r w:rsidR="0038131E" w:rsidRPr="0034295B">
        <w:rPr>
          <w:rFonts w:asciiTheme="majorBidi" w:hAnsiTheme="majorBidi" w:cstheme="majorBidi"/>
          <w:sz w:val="24"/>
          <w:szCs w:val="24"/>
          <w:rtl/>
        </w:rPr>
        <w:t xml:space="preserve"> (שני שיעורים)</w:t>
      </w:r>
    </w:p>
    <w:p w:rsidR="00BA056B" w:rsidRPr="0034295B" w:rsidRDefault="00BA056B" w:rsidP="00F31438">
      <w:pPr>
        <w:spacing w:after="0" w:line="360" w:lineRule="auto"/>
        <w:ind w:left="360" w:firstLine="720"/>
        <w:jc w:val="both"/>
        <w:rPr>
          <w:rFonts w:asciiTheme="majorBidi" w:hAnsiTheme="majorBidi" w:cstheme="majorBidi"/>
          <w:noProof/>
          <w:sz w:val="24"/>
          <w:szCs w:val="24"/>
          <w:rtl/>
        </w:rPr>
      </w:pPr>
      <w:r w:rsidRPr="0034295B">
        <w:rPr>
          <w:rFonts w:asciiTheme="majorBidi" w:hAnsiTheme="majorBidi" w:cstheme="majorBidi"/>
          <w:sz w:val="24"/>
          <w:szCs w:val="24"/>
          <w:rtl/>
        </w:rPr>
        <w:t xml:space="preserve">קריאת חובה: </w:t>
      </w:r>
      <w:r w:rsidR="0034295B" w:rsidRPr="0034295B">
        <w:rPr>
          <w:rFonts w:asciiTheme="majorBidi" w:hAnsiTheme="majorBidi" w:cstheme="majorBidi"/>
          <w:noProof/>
          <w:sz w:val="24"/>
          <w:szCs w:val="24"/>
          <w:rtl/>
        </w:rPr>
        <w:t>רגב א' '</w:t>
      </w:r>
      <w:r w:rsidRPr="0034295B">
        <w:rPr>
          <w:rFonts w:asciiTheme="majorBidi" w:hAnsiTheme="majorBidi" w:cstheme="majorBidi"/>
          <w:noProof/>
          <w:sz w:val="24"/>
          <w:szCs w:val="24"/>
          <w:rtl/>
        </w:rPr>
        <w:t xml:space="preserve">על הבדלי התפיסות בין ההלכה הקומראנית והלכות חז"ל: קדושה דינאמית מול קדושה סטטית', </w:t>
      </w:r>
      <w:r w:rsidRPr="0034295B">
        <w:rPr>
          <w:rFonts w:asciiTheme="majorBidi" w:hAnsiTheme="majorBidi" w:cstheme="majorBidi"/>
          <w:i/>
          <w:iCs/>
          <w:noProof/>
          <w:sz w:val="24"/>
          <w:szCs w:val="24"/>
          <w:rtl/>
        </w:rPr>
        <w:t xml:space="preserve">תרביץ </w:t>
      </w:r>
      <w:r w:rsidRPr="0034295B">
        <w:rPr>
          <w:rFonts w:asciiTheme="majorBidi" w:hAnsiTheme="majorBidi" w:cstheme="majorBidi"/>
          <w:noProof/>
          <w:sz w:val="24"/>
          <w:szCs w:val="24"/>
          <w:rtl/>
        </w:rPr>
        <w:t>עב, חוב' א-ב (תשס"ג), עמ' 113-132.</w:t>
      </w:r>
    </w:p>
    <w:p w:rsidR="0038131E" w:rsidRPr="0034295B" w:rsidRDefault="0038131E"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בית המקדש ושלטון רומא – סיבה לשלום או סיבה למרד?</w:t>
      </w:r>
    </w:p>
    <w:p w:rsidR="0038131E" w:rsidRPr="0034295B" w:rsidRDefault="0038131E" w:rsidP="0034295B">
      <w:pPr>
        <w:pStyle w:val="a5"/>
        <w:numPr>
          <w:ilvl w:val="0"/>
          <w:numId w:val="1"/>
        </w:numPr>
        <w:spacing w:after="0" w:line="360" w:lineRule="auto"/>
        <w:rPr>
          <w:rFonts w:asciiTheme="majorBidi" w:hAnsiTheme="majorBidi" w:cstheme="majorBidi"/>
          <w:sz w:val="24"/>
          <w:szCs w:val="24"/>
        </w:rPr>
      </w:pPr>
      <w:r w:rsidRPr="0034295B">
        <w:rPr>
          <w:rFonts w:asciiTheme="majorBidi" w:hAnsiTheme="majorBidi" w:cstheme="majorBidi"/>
          <w:sz w:val="24"/>
          <w:szCs w:val="24"/>
          <w:rtl/>
        </w:rPr>
        <w:t>התחליפים למקדש – לפני ואחרי החורבן</w:t>
      </w:r>
      <w:r w:rsidR="0034295B" w:rsidRPr="0034295B">
        <w:rPr>
          <w:rFonts w:asciiTheme="majorBidi" w:hAnsiTheme="majorBidi" w:cstheme="majorBidi"/>
          <w:sz w:val="24"/>
          <w:szCs w:val="24"/>
          <w:rtl/>
        </w:rPr>
        <w:t>: קומראן, נצרות קדומה, וחז"ל (שני שיעורים)</w:t>
      </w:r>
    </w:p>
    <w:p w:rsidR="0034295B" w:rsidRPr="0034295B" w:rsidRDefault="00614111" w:rsidP="00F31438">
      <w:pPr>
        <w:pStyle w:val="a5"/>
        <w:spacing w:after="0" w:line="360" w:lineRule="auto"/>
        <w:ind w:left="2160"/>
        <w:rPr>
          <w:rFonts w:asciiTheme="majorBidi" w:hAnsiTheme="majorBidi" w:cstheme="majorBidi"/>
          <w:sz w:val="24"/>
          <w:szCs w:val="24"/>
          <w:rtl/>
        </w:rPr>
      </w:pPr>
      <w:r w:rsidRPr="0034295B">
        <w:rPr>
          <w:rFonts w:asciiTheme="majorBidi" w:hAnsiTheme="majorBidi" w:cstheme="majorBidi"/>
          <w:sz w:val="24"/>
          <w:szCs w:val="24"/>
          <w:rtl/>
        </w:rPr>
        <w:t xml:space="preserve">קריאת חובה: </w:t>
      </w:r>
      <w:r w:rsidR="0034295B" w:rsidRPr="0034295B">
        <w:rPr>
          <w:rFonts w:asciiTheme="majorBidi" w:hAnsiTheme="majorBidi" w:cstheme="majorBidi"/>
          <w:sz w:val="24"/>
          <w:szCs w:val="24"/>
          <w:rtl/>
        </w:rPr>
        <w:t xml:space="preserve">רגב א', 'מקדש כמעט: דימויי הקהילה למקדש במגילות קומראן ובברית החדשה – ההבדלים והקשרים ביניהם', </w:t>
      </w:r>
      <w:r w:rsidR="0034295B" w:rsidRPr="0034295B">
        <w:rPr>
          <w:rFonts w:asciiTheme="majorBidi" w:hAnsiTheme="majorBidi" w:cstheme="majorBidi"/>
          <w:i/>
          <w:iCs/>
          <w:sz w:val="24"/>
          <w:szCs w:val="24"/>
          <w:rtl/>
        </w:rPr>
        <w:t>מגילות</w:t>
      </w:r>
      <w:r w:rsidR="0034295B" w:rsidRPr="0034295B">
        <w:rPr>
          <w:rFonts w:asciiTheme="majorBidi" w:hAnsiTheme="majorBidi" w:cstheme="majorBidi"/>
          <w:sz w:val="24"/>
          <w:szCs w:val="24"/>
          <w:rtl/>
        </w:rPr>
        <w:t xml:space="preserve"> </w:t>
      </w:r>
      <w:proofErr w:type="spellStart"/>
      <w:r w:rsidR="0034295B" w:rsidRPr="0034295B">
        <w:rPr>
          <w:rFonts w:asciiTheme="majorBidi" w:hAnsiTheme="majorBidi" w:cstheme="majorBidi"/>
          <w:sz w:val="24"/>
          <w:szCs w:val="24"/>
          <w:rtl/>
        </w:rPr>
        <w:t>יג</w:t>
      </w:r>
      <w:proofErr w:type="spellEnd"/>
      <w:r w:rsidR="0034295B" w:rsidRPr="0034295B">
        <w:rPr>
          <w:rFonts w:asciiTheme="majorBidi" w:hAnsiTheme="majorBidi" w:cstheme="majorBidi"/>
          <w:sz w:val="24"/>
          <w:szCs w:val="24"/>
          <w:rtl/>
        </w:rPr>
        <w:t xml:space="preserve"> (תשע"ז), עמ' 197-229.</w:t>
      </w:r>
    </w:p>
    <w:p w:rsidR="00F50C9C" w:rsidRPr="0034295B" w:rsidRDefault="00F50C9C" w:rsidP="0034295B">
      <w:pPr>
        <w:spacing w:after="0" w:line="360" w:lineRule="auto"/>
        <w:rPr>
          <w:rFonts w:asciiTheme="majorBidi" w:hAnsiTheme="majorBidi" w:cstheme="majorBidi"/>
          <w:sz w:val="24"/>
          <w:szCs w:val="24"/>
          <w:rtl/>
        </w:rPr>
      </w:pPr>
    </w:p>
    <w:p w:rsidR="00F50C9C" w:rsidRPr="0034295B" w:rsidRDefault="00F50C9C" w:rsidP="0034295B">
      <w:pPr>
        <w:spacing w:after="0" w:line="360" w:lineRule="auto"/>
        <w:ind w:left="26"/>
        <w:jc w:val="both"/>
        <w:rPr>
          <w:rFonts w:asciiTheme="majorBidi" w:hAnsiTheme="majorBidi" w:cstheme="majorBidi"/>
          <w:sz w:val="24"/>
          <w:szCs w:val="24"/>
          <w:rtl/>
        </w:rPr>
      </w:pPr>
      <w:r w:rsidRPr="0034295B">
        <w:rPr>
          <w:rFonts w:asciiTheme="majorBidi" w:hAnsiTheme="majorBidi" w:cstheme="majorBidi"/>
          <w:b/>
          <w:bCs/>
          <w:sz w:val="24"/>
          <w:szCs w:val="24"/>
          <w:rtl/>
        </w:rPr>
        <w:t>ג. דרישות קדם:</w:t>
      </w:r>
      <w:r w:rsidRPr="0034295B">
        <w:rPr>
          <w:rFonts w:asciiTheme="majorBidi" w:hAnsiTheme="majorBidi" w:cstheme="majorBidi"/>
          <w:sz w:val="24"/>
          <w:szCs w:val="24"/>
          <w:rtl/>
        </w:rPr>
        <w:t xml:space="preserve"> </w:t>
      </w:r>
    </w:p>
    <w:p w:rsidR="00F50C9C" w:rsidRPr="0034295B" w:rsidRDefault="00F50C9C" w:rsidP="0034295B">
      <w:pPr>
        <w:spacing w:after="0" w:line="360" w:lineRule="auto"/>
        <w:ind w:left="26"/>
        <w:jc w:val="both"/>
        <w:rPr>
          <w:rFonts w:asciiTheme="majorBidi" w:hAnsiTheme="majorBidi" w:cstheme="majorBidi"/>
          <w:sz w:val="24"/>
          <w:szCs w:val="24"/>
          <w:rtl/>
        </w:rPr>
      </w:pPr>
      <w:r w:rsidRPr="0034295B">
        <w:rPr>
          <w:rFonts w:asciiTheme="majorBidi" w:hAnsiTheme="majorBidi" w:cstheme="majorBidi"/>
          <w:sz w:val="24"/>
          <w:szCs w:val="24"/>
          <w:rtl/>
        </w:rPr>
        <w:t>מבוא לתקופת בית שני</w:t>
      </w:r>
    </w:p>
    <w:p w:rsidR="00F50C9C" w:rsidRPr="0034295B" w:rsidRDefault="00F50C9C" w:rsidP="0034295B">
      <w:pPr>
        <w:spacing w:after="0" w:line="360" w:lineRule="auto"/>
        <w:jc w:val="both"/>
        <w:rPr>
          <w:rFonts w:asciiTheme="majorBidi" w:hAnsiTheme="majorBidi" w:cstheme="majorBidi"/>
          <w:b/>
          <w:bCs/>
          <w:sz w:val="24"/>
          <w:szCs w:val="24"/>
          <w:rtl/>
        </w:rPr>
      </w:pPr>
      <w:r w:rsidRPr="0034295B">
        <w:rPr>
          <w:rFonts w:asciiTheme="majorBidi" w:hAnsiTheme="majorBidi" w:cstheme="majorBidi"/>
          <w:b/>
          <w:bCs/>
          <w:sz w:val="24"/>
          <w:szCs w:val="24"/>
          <w:rtl/>
        </w:rPr>
        <w:t>ד. חובות / דרישות / מטלות:</w:t>
      </w:r>
    </w:p>
    <w:p w:rsidR="00F50C9C" w:rsidRPr="0034295B" w:rsidRDefault="00F50C9C" w:rsidP="0034295B">
      <w:pPr>
        <w:spacing w:after="0" w:line="360" w:lineRule="auto"/>
        <w:jc w:val="both"/>
        <w:rPr>
          <w:rFonts w:asciiTheme="majorBidi" w:hAnsiTheme="majorBidi" w:cstheme="majorBidi"/>
          <w:sz w:val="24"/>
          <w:szCs w:val="24"/>
          <w:rtl/>
        </w:rPr>
      </w:pPr>
      <w:r w:rsidRPr="0034295B">
        <w:rPr>
          <w:rFonts w:asciiTheme="majorBidi" w:hAnsiTheme="majorBidi" w:cstheme="majorBidi"/>
          <w:sz w:val="24"/>
          <w:szCs w:val="24"/>
          <w:rtl/>
        </w:rPr>
        <w:t>מבחן מסכם</w:t>
      </w:r>
    </w:p>
    <w:p w:rsidR="00F50C9C" w:rsidRPr="0034295B" w:rsidRDefault="00F50C9C" w:rsidP="0034295B">
      <w:pPr>
        <w:spacing w:after="0" w:line="360" w:lineRule="auto"/>
        <w:jc w:val="both"/>
        <w:rPr>
          <w:rFonts w:asciiTheme="majorBidi" w:hAnsiTheme="majorBidi" w:cstheme="majorBidi"/>
          <w:sz w:val="24"/>
          <w:szCs w:val="24"/>
          <w:rtl/>
        </w:rPr>
      </w:pPr>
    </w:p>
    <w:p w:rsidR="00F50C9C" w:rsidRPr="0034295B" w:rsidRDefault="00F50C9C" w:rsidP="0034295B">
      <w:pPr>
        <w:spacing w:after="0" w:line="360" w:lineRule="auto"/>
        <w:jc w:val="both"/>
        <w:rPr>
          <w:rFonts w:asciiTheme="majorBidi" w:hAnsiTheme="majorBidi" w:cstheme="majorBidi"/>
          <w:b/>
          <w:bCs/>
          <w:sz w:val="24"/>
          <w:szCs w:val="24"/>
          <w:rtl/>
        </w:rPr>
      </w:pPr>
      <w:r w:rsidRPr="0034295B">
        <w:rPr>
          <w:rFonts w:asciiTheme="majorBidi" w:hAnsiTheme="majorBidi" w:cstheme="majorBidi"/>
          <w:b/>
          <w:bCs/>
          <w:sz w:val="24"/>
          <w:szCs w:val="24"/>
          <w:rtl/>
        </w:rPr>
        <w:t>ה. מרכיבי הציון הסופי:</w:t>
      </w:r>
    </w:p>
    <w:p w:rsidR="00F50C9C" w:rsidRPr="0034295B" w:rsidRDefault="00F50C9C" w:rsidP="0034295B">
      <w:pPr>
        <w:spacing w:after="0" w:line="360" w:lineRule="auto"/>
        <w:jc w:val="both"/>
        <w:rPr>
          <w:rFonts w:asciiTheme="majorBidi" w:hAnsiTheme="majorBidi" w:cstheme="majorBidi"/>
          <w:b/>
          <w:bCs/>
          <w:sz w:val="24"/>
          <w:szCs w:val="24"/>
          <w:rtl/>
        </w:rPr>
      </w:pPr>
      <w:r w:rsidRPr="0034295B">
        <w:rPr>
          <w:rFonts w:asciiTheme="majorBidi" w:hAnsiTheme="majorBidi" w:cstheme="majorBidi"/>
          <w:b/>
          <w:bCs/>
          <w:sz w:val="24"/>
          <w:szCs w:val="24"/>
          <w:rtl/>
        </w:rPr>
        <w:t>נוכחות 1%</w:t>
      </w:r>
    </w:p>
    <w:p w:rsidR="00F50C9C" w:rsidRPr="0034295B" w:rsidRDefault="00F50C9C" w:rsidP="0034295B">
      <w:pPr>
        <w:spacing w:after="0" w:line="360" w:lineRule="auto"/>
        <w:jc w:val="both"/>
        <w:rPr>
          <w:rFonts w:asciiTheme="majorBidi" w:hAnsiTheme="majorBidi" w:cstheme="majorBidi"/>
          <w:sz w:val="24"/>
          <w:szCs w:val="24"/>
          <w:rtl/>
        </w:rPr>
      </w:pPr>
      <w:r w:rsidRPr="0034295B">
        <w:rPr>
          <w:rFonts w:asciiTheme="majorBidi" w:hAnsiTheme="majorBidi" w:cstheme="majorBidi"/>
          <w:b/>
          <w:bCs/>
          <w:sz w:val="24"/>
          <w:szCs w:val="24"/>
          <w:rtl/>
        </w:rPr>
        <w:t>מבחן מסכם  99%</w:t>
      </w:r>
    </w:p>
    <w:p w:rsidR="00F50C9C" w:rsidRPr="0034295B" w:rsidRDefault="00F50C9C" w:rsidP="0034295B">
      <w:pPr>
        <w:spacing w:after="0" w:line="360" w:lineRule="auto"/>
        <w:jc w:val="both"/>
        <w:rPr>
          <w:rFonts w:asciiTheme="majorBidi" w:hAnsiTheme="majorBidi" w:cstheme="majorBidi"/>
          <w:sz w:val="24"/>
          <w:szCs w:val="24"/>
          <w:rtl/>
        </w:rPr>
      </w:pPr>
    </w:p>
    <w:p w:rsidR="00F50C9C" w:rsidRPr="0034295B" w:rsidRDefault="00F50C9C" w:rsidP="0034295B">
      <w:pPr>
        <w:spacing w:after="0" w:line="360" w:lineRule="auto"/>
        <w:ind w:left="26"/>
        <w:rPr>
          <w:rFonts w:asciiTheme="majorBidi" w:hAnsiTheme="majorBidi" w:cstheme="majorBidi"/>
          <w:b/>
          <w:bCs/>
          <w:color w:val="000000"/>
          <w:sz w:val="24"/>
          <w:szCs w:val="24"/>
          <w:rtl/>
        </w:rPr>
      </w:pPr>
      <w:r w:rsidRPr="0034295B">
        <w:rPr>
          <w:rFonts w:asciiTheme="majorBidi" w:hAnsiTheme="majorBidi" w:cstheme="majorBidi"/>
          <w:b/>
          <w:bCs/>
          <w:sz w:val="24"/>
          <w:szCs w:val="24"/>
          <w:rtl/>
        </w:rPr>
        <w:t>ו. ביבליוגרפיה</w:t>
      </w:r>
      <w:r w:rsidR="0038131E" w:rsidRPr="0034295B">
        <w:rPr>
          <w:rFonts w:asciiTheme="majorBidi" w:hAnsiTheme="majorBidi" w:cstheme="majorBidi"/>
          <w:b/>
          <w:bCs/>
          <w:color w:val="000000"/>
          <w:sz w:val="24"/>
          <w:szCs w:val="24"/>
          <w:rtl/>
        </w:rPr>
        <w:t xml:space="preserve"> </w:t>
      </w:r>
      <w:r w:rsidR="00F31438">
        <w:rPr>
          <w:rFonts w:asciiTheme="majorBidi" w:hAnsiTheme="majorBidi" w:cstheme="majorBidi" w:hint="cs"/>
          <w:b/>
          <w:bCs/>
          <w:color w:val="000000"/>
          <w:sz w:val="24"/>
          <w:szCs w:val="24"/>
          <w:rtl/>
        </w:rPr>
        <w:t xml:space="preserve">נוספת </w:t>
      </w:r>
      <w:r w:rsidR="0038131E" w:rsidRPr="0034295B">
        <w:rPr>
          <w:rFonts w:asciiTheme="majorBidi" w:hAnsiTheme="majorBidi" w:cstheme="majorBidi"/>
          <w:b/>
          <w:bCs/>
          <w:color w:val="000000"/>
          <w:sz w:val="24"/>
          <w:szCs w:val="24"/>
          <w:rtl/>
        </w:rPr>
        <w:t>(רשות)</w:t>
      </w:r>
      <w:r w:rsidRPr="0034295B">
        <w:rPr>
          <w:rFonts w:asciiTheme="majorBidi" w:hAnsiTheme="majorBidi" w:cstheme="majorBidi"/>
          <w:b/>
          <w:bCs/>
          <w:color w:val="000000"/>
          <w:sz w:val="24"/>
          <w:szCs w:val="24"/>
          <w:rtl/>
        </w:rPr>
        <w:t>:</w:t>
      </w:r>
    </w:p>
    <w:p w:rsidR="000A0ED8" w:rsidRPr="0034295B" w:rsidRDefault="000A0ED8" w:rsidP="0034295B">
      <w:pPr>
        <w:spacing w:after="0" w:line="360" w:lineRule="auto"/>
        <w:rPr>
          <w:rFonts w:asciiTheme="majorBidi" w:hAnsiTheme="majorBidi" w:cstheme="majorBidi"/>
          <w:noProof/>
          <w:sz w:val="24"/>
          <w:szCs w:val="24"/>
          <w:rtl/>
        </w:rPr>
      </w:pPr>
      <w:r w:rsidRPr="0034295B">
        <w:rPr>
          <w:rFonts w:asciiTheme="majorBidi" w:hAnsiTheme="majorBidi" w:cstheme="majorBidi"/>
          <w:noProof/>
          <w:sz w:val="24"/>
          <w:szCs w:val="24"/>
          <w:rtl/>
        </w:rPr>
        <w:t xml:space="preserve">ביכלר א', </w:t>
      </w:r>
      <w:r w:rsidRPr="0034295B">
        <w:rPr>
          <w:rFonts w:asciiTheme="majorBidi" w:hAnsiTheme="majorBidi" w:cstheme="majorBidi"/>
          <w:b/>
          <w:bCs/>
          <w:noProof/>
          <w:sz w:val="24"/>
          <w:szCs w:val="24"/>
          <w:rtl/>
        </w:rPr>
        <w:t>הכהנים ועבודתם</w:t>
      </w:r>
      <w:r w:rsidRPr="0034295B">
        <w:rPr>
          <w:rFonts w:asciiTheme="majorBidi" w:hAnsiTheme="majorBidi" w:cstheme="majorBidi"/>
          <w:noProof/>
          <w:sz w:val="24"/>
          <w:szCs w:val="24"/>
          <w:rtl/>
        </w:rPr>
        <w:t xml:space="preserve">, (תרגם: גינתון נ'), ירושלים תשכ"ו. </w:t>
      </w:r>
    </w:p>
    <w:p w:rsidR="00614111" w:rsidRPr="0034295B" w:rsidRDefault="00614111" w:rsidP="0034295B">
      <w:pPr>
        <w:spacing w:after="0" w:line="360" w:lineRule="auto"/>
        <w:rPr>
          <w:rFonts w:asciiTheme="majorBidi" w:hAnsiTheme="majorBidi" w:cstheme="majorBidi"/>
          <w:sz w:val="24"/>
          <w:szCs w:val="24"/>
          <w:rtl/>
        </w:rPr>
      </w:pPr>
      <w:r w:rsidRPr="0034295B">
        <w:rPr>
          <w:rFonts w:asciiTheme="majorBidi" w:hAnsiTheme="majorBidi" w:cstheme="majorBidi"/>
          <w:sz w:val="24"/>
          <w:szCs w:val="24"/>
          <w:rtl/>
        </w:rPr>
        <w:t>גולדשטיין נ', 'עבודת הקורבנות בהגות חז"ל שלאחר חורבן הבית', דעת ח (תשמ"ב), עמ' 29-51.</w:t>
      </w:r>
    </w:p>
    <w:p w:rsidR="000A0ED8" w:rsidRPr="0034295B" w:rsidRDefault="000A0ED8" w:rsidP="0034295B">
      <w:pPr>
        <w:pStyle w:val="a6"/>
        <w:rPr>
          <w:rFonts w:asciiTheme="majorBidi" w:hAnsiTheme="majorBidi" w:cstheme="majorBidi"/>
          <w:sz w:val="24"/>
          <w:rtl/>
        </w:rPr>
      </w:pPr>
      <w:proofErr w:type="spellStart"/>
      <w:r w:rsidRPr="0034295B">
        <w:rPr>
          <w:rFonts w:asciiTheme="majorBidi" w:hAnsiTheme="majorBidi" w:cstheme="majorBidi"/>
          <w:sz w:val="24"/>
          <w:rtl/>
        </w:rPr>
        <w:t>גרוסברג</w:t>
      </w:r>
      <w:proofErr w:type="spellEnd"/>
      <w:r w:rsidRPr="0034295B">
        <w:rPr>
          <w:rFonts w:asciiTheme="majorBidi" w:hAnsiTheme="majorBidi" w:cstheme="majorBidi"/>
          <w:sz w:val="24"/>
          <w:rtl/>
        </w:rPr>
        <w:t xml:space="preserve"> א', איתור תחומי הר הבית ומקום המקדש', </w:t>
      </w:r>
      <w:proofErr w:type="spellStart"/>
      <w:r w:rsidRPr="0034295B">
        <w:rPr>
          <w:rFonts w:asciiTheme="majorBidi" w:hAnsiTheme="majorBidi" w:cstheme="majorBidi"/>
          <w:sz w:val="24"/>
          <w:rtl/>
        </w:rPr>
        <w:t>תחומין</w:t>
      </w:r>
      <w:proofErr w:type="spellEnd"/>
      <w:r w:rsidRPr="0034295B">
        <w:rPr>
          <w:rFonts w:asciiTheme="majorBidi" w:hAnsiTheme="majorBidi" w:cstheme="majorBidi"/>
          <w:sz w:val="24"/>
          <w:rtl/>
        </w:rPr>
        <w:t xml:space="preserve"> </w:t>
      </w:r>
      <w:proofErr w:type="spellStart"/>
      <w:r w:rsidRPr="0034295B">
        <w:rPr>
          <w:rFonts w:asciiTheme="majorBidi" w:hAnsiTheme="majorBidi" w:cstheme="majorBidi"/>
          <w:sz w:val="24"/>
          <w:rtl/>
        </w:rPr>
        <w:t>טז</w:t>
      </w:r>
      <w:proofErr w:type="spellEnd"/>
      <w:r w:rsidRPr="0034295B">
        <w:rPr>
          <w:rFonts w:asciiTheme="majorBidi" w:hAnsiTheme="majorBidi" w:cstheme="majorBidi"/>
          <w:sz w:val="24"/>
          <w:rtl/>
        </w:rPr>
        <w:t xml:space="preserve"> (תשנ"ו), עמ' 458-502.</w:t>
      </w:r>
    </w:p>
    <w:p w:rsidR="000A0ED8" w:rsidRPr="0034295B" w:rsidRDefault="000A0ED8" w:rsidP="0034295B">
      <w:pPr>
        <w:spacing w:after="0" w:line="360" w:lineRule="auto"/>
        <w:jc w:val="both"/>
        <w:rPr>
          <w:rFonts w:asciiTheme="majorBidi" w:hAnsiTheme="majorBidi" w:cstheme="majorBidi"/>
          <w:noProof/>
          <w:sz w:val="24"/>
          <w:szCs w:val="24"/>
          <w:rtl/>
        </w:rPr>
      </w:pPr>
      <w:r w:rsidRPr="0034295B">
        <w:rPr>
          <w:rFonts w:asciiTheme="majorBidi" w:hAnsiTheme="majorBidi" w:cstheme="majorBidi"/>
          <w:noProof/>
          <w:sz w:val="24"/>
          <w:szCs w:val="24"/>
          <w:rtl/>
        </w:rPr>
        <w:t>כשר א', 'ירושלים כ"מטרופוליס" בתודעתו הלאומית של פילון', קתדרה 11 (תשל"ט), עמ' 45-56.</w:t>
      </w:r>
    </w:p>
    <w:p w:rsidR="00614111" w:rsidRPr="0034295B" w:rsidRDefault="00614111" w:rsidP="0034295B">
      <w:pPr>
        <w:pStyle w:val="a6"/>
        <w:rPr>
          <w:rFonts w:asciiTheme="majorBidi" w:hAnsiTheme="majorBidi" w:cstheme="majorBidi"/>
          <w:sz w:val="24"/>
          <w:rtl/>
        </w:rPr>
      </w:pPr>
      <w:r w:rsidRPr="0034295B">
        <w:rPr>
          <w:rFonts w:asciiTheme="majorBidi" w:hAnsiTheme="majorBidi" w:cstheme="majorBidi"/>
          <w:sz w:val="24"/>
          <w:rtl/>
        </w:rPr>
        <w:t xml:space="preserve">לוין </w:t>
      </w:r>
      <w:proofErr w:type="spellStart"/>
      <w:r w:rsidRPr="0034295B">
        <w:rPr>
          <w:rFonts w:asciiTheme="majorBidi" w:hAnsiTheme="majorBidi" w:cstheme="majorBidi"/>
          <w:sz w:val="24"/>
          <w:rtl/>
        </w:rPr>
        <w:t>י"ל</w:t>
      </w:r>
      <w:proofErr w:type="spellEnd"/>
      <w:r w:rsidRPr="0034295B">
        <w:rPr>
          <w:rFonts w:asciiTheme="majorBidi" w:hAnsiTheme="majorBidi" w:cstheme="majorBidi"/>
          <w:sz w:val="24"/>
          <w:rtl/>
        </w:rPr>
        <w:t>, 'תולדות המנורה ומשמעותה בעת העתיקה', קתדרה 98 (תשס"א), עמ' 7-32.</w:t>
      </w:r>
    </w:p>
    <w:p w:rsidR="000A0ED8" w:rsidRPr="0034295B" w:rsidRDefault="000A0ED8" w:rsidP="0034295B">
      <w:pPr>
        <w:tabs>
          <w:tab w:val="left" w:pos="720"/>
        </w:tabs>
        <w:spacing w:after="0" w:line="360" w:lineRule="auto"/>
        <w:jc w:val="both"/>
        <w:rPr>
          <w:rFonts w:asciiTheme="majorBidi" w:hAnsiTheme="majorBidi" w:cstheme="majorBidi"/>
          <w:sz w:val="24"/>
          <w:szCs w:val="24"/>
          <w:rtl/>
        </w:rPr>
      </w:pPr>
      <w:r w:rsidRPr="0034295B">
        <w:rPr>
          <w:rFonts w:asciiTheme="majorBidi" w:hAnsiTheme="majorBidi" w:cstheme="majorBidi"/>
          <w:sz w:val="24"/>
          <w:szCs w:val="24"/>
          <w:rtl/>
        </w:rPr>
        <w:t xml:space="preserve">רגב א', 'טומאת המקדש ו'יחסי החוץ' של כת קומראן בראשית התקופה החשמונאית', </w:t>
      </w:r>
      <w:r w:rsidRPr="0034295B">
        <w:rPr>
          <w:rFonts w:asciiTheme="majorBidi" w:hAnsiTheme="majorBidi" w:cstheme="majorBidi"/>
          <w:b/>
          <w:bCs/>
          <w:sz w:val="24"/>
          <w:szCs w:val="24"/>
          <w:rtl/>
        </w:rPr>
        <w:t>ציון</w:t>
      </w:r>
      <w:r w:rsidRPr="0034295B">
        <w:rPr>
          <w:rFonts w:asciiTheme="majorBidi" w:hAnsiTheme="majorBidi" w:cstheme="majorBidi"/>
          <w:sz w:val="24"/>
          <w:szCs w:val="24"/>
          <w:rtl/>
        </w:rPr>
        <w:t xml:space="preserve"> סד, ב (תשנ"ט), עמ' 133-156.</w:t>
      </w:r>
    </w:p>
    <w:p w:rsidR="00BA056B" w:rsidRPr="0034295B" w:rsidRDefault="00BA056B" w:rsidP="0034295B">
      <w:pPr>
        <w:spacing w:after="0" w:line="360" w:lineRule="auto"/>
        <w:jc w:val="both"/>
        <w:rPr>
          <w:rFonts w:asciiTheme="majorBidi" w:hAnsiTheme="majorBidi" w:cstheme="majorBidi"/>
          <w:noProof/>
          <w:sz w:val="24"/>
          <w:szCs w:val="24"/>
          <w:rtl/>
        </w:rPr>
      </w:pPr>
      <w:r w:rsidRPr="0034295B">
        <w:rPr>
          <w:rFonts w:asciiTheme="majorBidi" w:hAnsiTheme="majorBidi" w:cstheme="majorBidi"/>
          <w:noProof/>
          <w:sz w:val="24"/>
          <w:szCs w:val="24"/>
          <w:rtl/>
        </w:rPr>
        <w:t xml:space="preserve">רגב, א' 'ממלכת כוהנים או גוי קדוש? מעמדו של המקדש בנצרות הקדומה'  </w:t>
      </w:r>
      <w:r w:rsidRPr="0034295B">
        <w:rPr>
          <w:rFonts w:asciiTheme="majorBidi" w:hAnsiTheme="majorBidi" w:cstheme="majorBidi"/>
          <w:i/>
          <w:iCs/>
          <w:noProof/>
          <w:sz w:val="24"/>
          <w:szCs w:val="24"/>
          <w:rtl/>
        </w:rPr>
        <w:t xml:space="preserve">קתדרה </w:t>
      </w:r>
      <w:r w:rsidRPr="0034295B">
        <w:rPr>
          <w:rFonts w:asciiTheme="majorBidi" w:hAnsiTheme="majorBidi" w:cstheme="majorBidi"/>
          <w:noProof/>
          <w:sz w:val="24"/>
          <w:szCs w:val="24"/>
          <w:rtl/>
        </w:rPr>
        <w:t>113 (תשס"ה), עמ' 5-35.</w:t>
      </w:r>
    </w:p>
    <w:p w:rsidR="00BA056B" w:rsidRPr="0034295B" w:rsidRDefault="00BA056B" w:rsidP="0034295B">
      <w:pPr>
        <w:tabs>
          <w:tab w:val="left" w:pos="375"/>
          <w:tab w:val="left" w:pos="658"/>
          <w:tab w:val="left" w:pos="2643"/>
          <w:tab w:val="right" w:pos="8029"/>
        </w:tabs>
        <w:spacing w:after="0" w:line="360" w:lineRule="auto"/>
        <w:jc w:val="both"/>
        <w:rPr>
          <w:rFonts w:asciiTheme="majorBidi" w:hAnsiTheme="majorBidi" w:cstheme="majorBidi"/>
          <w:sz w:val="24"/>
          <w:szCs w:val="24"/>
          <w:rtl/>
        </w:rPr>
      </w:pPr>
      <w:r w:rsidRPr="0034295B">
        <w:rPr>
          <w:rFonts w:asciiTheme="majorBidi" w:hAnsiTheme="majorBidi" w:cstheme="majorBidi"/>
          <w:noProof/>
          <w:sz w:val="24"/>
          <w:szCs w:val="24"/>
          <w:rtl/>
        </w:rPr>
        <w:t xml:space="preserve">רגב, א' </w:t>
      </w:r>
      <w:r w:rsidRPr="0034295B">
        <w:rPr>
          <w:rFonts w:asciiTheme="majorBidi" w:hAnsiTheme="majorBidi" w:cstheme="majorBidi"/>
          <w:sz w:val="24"/>
          <w:szCs w:val="24"/>
          <w:rtl/>
        </w:rPr>
        <w:t xml:space="preserve">'בין צדוקים לפרושים: המסורות על השליטה במקדש בתקופת בית הורדוס', </w:t>
      </w:r>
      <w:r w:rsidRPr="0034295B">
        <w:rPr>
          <w:rFonts w:asciiTheme="majorBidi" w:hAnsiTheme="majorBidi" w:cstheme="majorBidi"/>
          <w:i/>
          <w:iCs/>
          <w:sz w:val="24"/>
          <w:szCs w:val="24"/>
          <w:rtl/>
        </w:rPr>
        <w:t xml:space="preserve">ירושלים וארץ-ישראל </w:t>
      </w:r>
      <w:r w:rsidRPr="0034295B">
        <w:rPr>
          <w:rFonts w:asciiTheme="majorBidi" w:hAnsiTheme="majorBidi" w:cstheme="majorBidi"/>
          <w:sz w:val="24"/>
          <w:szCs w:val="24"/>
          <w:rtl/>
        </w:rPr>
        <w:t>1 (תשס"ד), עמ' 5-46.</w:t>
      </w:r>
    </w:p>
    <w:p w:rsidR="00BA056B" w:rsidRPr="0034295B" w:rsidRDefault="00BA056B" w:rsidP="0034295B">
      <w:pPr>
        <w:tabs>
          <w:tab w:val="left" w:pos="375"/>
          <w:tab w:val="left" w:pos="658"/>
          <w:tab w:val="left" w:pos="2643"/>
          <w:tab w:val="right" w:pos="8029"/>
        </w:tabs>
        <w:spacing w:after="0" w:line="360" w:lineRule="auto"/>
        <w:jc w:val="both"/>
        <w:rPr>
          <w:rFonts w:asciiTheme="majorBidi" w:hAnsiTheme="majorBidi" w:cstheme="majorBidi"/>
          <w:sz w:val="24"/>
          <w:szCs w:val="24"/>
          <w:rtl/>
        </w:rPr>
      </w:pPr>
      <w:r w:rsidRPr="0034295B">
        <w:rPr>
          <w:rFonts w:asciiTheme="majorBidi" w:hAnsiTheme="majorBidi" w:cstheme="majorBidi"/>
          <w:sz w:val="24"/>
          <w:szCs w:val="24"/>
          <w:rtl/>
        </w:rPr>
        <w:t xml:space="preserve">רגב, א', </w:t>
      </w:r>
      <w:r w:rsidRPr="0034295B">
        <w:rPr>
          <w:rFonts w:asciiTheme="majorBidi" w:hAnsiTheme="majorBidi" w:cstheme="majorBidi"/>
          <w:sz w:val="24"/>
          <w:szCs w:val="24"/>
        </w:rPr>
        <w:t xml:space="preserve">' </w:t>
      </w:r>
      <w:r w:rsidRPr="0034295B">
        <w:rPr>
          <w:rFonts w:asciiTheme="majorBidi" w:hAnsiTheme="majorBidi" w:cstheme="majorBidi"/>
          <w:sz w:val="24"/>
          <w:szCs w:val="24"/>
          <w:rtl/>
        </w:rPr>
        <w:t>ק</w:t>
      </w:r>
      <w:r w:rsidRPr="0034295B">
        <w:rPr>
          <w:rFonts w:asciiTheme="majorBidi" w:hAnsiTheme="majorBidi" w:cstheme="majorBidi"/>
          <w:noProof/>
          <w:sz w:val="24"/>
          <w:szCs w:val="24"/>
          <w:rtl/>
        </w:rPr>
        <w:t xml:space="preserve">דושה דינאמית או קדושה סטטית? לאפיון הקדושה ברבדים הכוהניים ובספר דברים בעקבות שיטת משה ויינפלד', </w:t>
      </w:r>
      <w:r w:rsidRPr="0034295B">
        <w:rPr>
          <w:rFonts w:asciiTheme="majorBidi" w:hAnsiTheme="majorBidi" w:cstheme="majorBidi"/>
          <w:i/>
          <w:iCs/>
          <w:noProof/>
          <w:sz w:val="24"/>
          <w:szCs w:val="24"/>
          <w:rtl/>
        </w:rPr>
        <w:t>שנתון למקרא ולחקר המזרח הקדום</w:t>
      </w:r>
      <w:r w:rsidRPr="0034295B">
        <w:rPr>
          <w:rFonts w:asciiTheme="majorBidi" w:hAnsiTheme="majorBidi" w:cstheme="majorBidi"/>
          <w:noProof/>
          <w:sz w:val="24"/>
          <w:szCs w:val="24"/>
          <w:rtl/>
        </w:rPr>
        <w:t xml:space="preserve"> יג (תשס"ג), עמ' 51-74.</w:t>
      </w:r>
    </w:p>
    <w:p w:rsidR="00BA056B" w:rsidRPr="0034295B" w:rsidRDefault="00BA056B" w:rsidP="0034295B">
      <w:pPr>
        <w:tabs>
          <w:tab w:val="left" w:pos="375"/>
          <w:tab w:val="left" w:pos="658"/>
          <w:tab w:val="left" w:pos="2643"/>
          <w:tab w:val="right" w:pos="8029"/>
        </w:tabs>
        <w:spacing w:after="0" w:line="360" w:lineRule="auto"/>
        <w:jc w:val="both"/>
        <w:rPr>
          <w:rFonts w:asciiTheme="majorBidi" w:hAnsiTheme="majorBidi" w:cstheme="majorBidi"/>
          <w:sz w:val="24"/>
          <w:szCs w:val="24"/>
          <w:rtl/>
        </w:rPr>
      </w:pPr>
      <w:r w:rsidRPr="0034295B">
        <w:rPr>
          <w:rFonts w:asciiTheme="majorBidi" w:hAnsiTheme="majorBidi" w:cstheme="majorBidi"/>
          <w:noProof/>
          <w:sz w:val="24"/>
          <w:szCs w:val="24"/>
          <w:rtl/>
        </w:rPr>
        <w:t>רגב, א', 'בית המקדש כערש תפילת הקבע בישראל: על גורמים ותהליכים בהתפתחות</w:t>
      </w:r>
      <w:r w:rsidRPr="0034295B">
        <w:rPr>
          <w:rFonts w:asciiTheme="majorBidi" w:hAnsiTheme="majorBidi" w:cstheme="majorBidi"/>
          <w:sz w:val="24"/>
          <w:szCs w:val="24"/>
          <w:rtl/>
        </w:rPr>
        <w:t xml:space="preserve"> התפילה בימי בית שני', </w:t>
      </w:r>
      <w:r w:rsidRPr="0034295B">
        <w:rPr>
          <w:rFonts w:asciiTheme="majorBidi" w:hAnsiTheme="majorBidi" w:cstheme="majorBidi"/>
          <w:i/>
          <w:iCs/>
          <w:sz w:val="24"/>
          <w:szCs w:val="24"/>
          <w:rtl/>
        </w:rPr>
        <w:t>ציון</w:t>
      </w:r>
      <w:r w:rsidRPr="0034295B">
        <w:rPr>
          <w:rFonts w:asciiTheme="majorBidi" w:hAnsiTheme="majorBidi" w:cstheme="majorBidi"/>
          <w:sz w:val="24"/>
          <w:szCs w:val="24"/>
          <w:rtl/>
        </w:rPr>
        <w:t xml:space="preserve"> ע, חוב' א (תשס"ה), עמ' 5-29.</w:t>
      </w:r>
    </w:p>
    <w:p w:rsidR="00BA056B" w:rsidRPr="0034295B" w:rsidRDefault="00BA056B" w:rsidP="0034295B">
      <w:pPr>
        <w:tabs>
          <w:tab w:val="left" w:pos="375"/>
          <w:tab w:val="left" w:pos="658"/>
          <w:tab w:val="left" w:pos="2643"/>
          <w:tab w:val="right" w:pos="8029"/>
        </w:tabs>
        <w:spacing w:after="0" w:line="360" w:lineRule="auto"/>
        <w:jc w:val="both"/>
        <w:rPr>
          <w:rFonts w:asciiTheme="majorBidi" w:hAnsiTheme="majorBidi" w:cstheme="majorBidi"/>
          <w:sz w:val="24"/>
          <w:szCs w:val="24"/>
          <w:rtl/>
        </w:rPr>
      </w:pPr>
    </w:p>
    <w:p w:rsidR="00BA056B" w:rsidRPr="0034295B" w:rsidRDefault="00BA056B" w:rsidP="0034295B">
      <w:pPr>
        <w:tabs>
          <w:tab w:val="left" w:pos="375"/>
          <w:tab w:val="left" w:pos="658"/>
          <w:tab w:val="left" w:pos="2643"/>
          <w:tab w:val="right" w:pos="8029"/>
        </w:tabs>
        <w:spacing w:after="0" w:line="360" w:lineRule="auto"/>
        <w:jc w:val="both"/>
        <w:rPr>
          <w:rFonts w:asciiTheme="majorBidi" w:hAnsiTheme="majorBidi" w:cstheme="majorBidi"/>
          <w:sz w:val="24"/>
          <w:szCs w:val="24"/>
          <w:rtl/>
        </w:rPr>
      </w:pPr>
      <w:r w:rsidRPr="0034295B">
        <w:rPr>
          <w:rFonts w:asciiTheme="majorBidi" w:hAnsiTheme="majorBidi" w:cstheme="majorBidi"/>
          <w:sz w:val="24"/>
          <w:szCs w:val="24"/>
          <w:rtl/>
        </w:rPr>
        <w:t xml:space="preserve">רגב, א', הצדוקים והלכתם: על דת וחברה בימי בית שני, יד יצחק בן צבי, ירושלים תשס"ה (ביחוד פרק י). זמין במאגר 'כותר' באתר </w:t>
      </w:r>
      <w:proofErr w:type="spellStart"/>
      <w:r w:rsidRPr="0034295B">
        <w:rPr>
          <w:rFonts w:asciiTheme="majorBidi" w:hAnsiTheme="majorBidi" w:cstheme="majorBidi"/>
          <w:sz w:val="24"/>
          <w:szCs w:val="24"/>
          <w:rtl/>
        </w:rPr>
        <w:t>הספריה</w:t>
      </w:r>
      <w:proofErr w:type="spellEnd"/>
      <w:r w:rsidRPr="0034295B">
        <w:rPr>
          <w:rFonts w:asciiTheme="majorBidi" w:hAnsiTheme="majorBidi" w:cstheme="majorBidi"/>
          <w:sz w:val="24"/>
          <w:szCs w:val="24"/>
          <w:rtl/>
        </w:rPr>
        <w:t xml:space="preserve">. </w:t>
      </w:r>
    </w:p>
    <w:p w:rsidR="0038131E" w:rsidRPr="0034295B" w:rsidRDefault="0038131E" w:rsidP="0034295B">
      <w:pPr>
        <w:spacing w:after="0" w:line="360" w:lineRule="auto"/>
        <w:rPr>
          <w:rFonts w:asciiTheme="majorBidi" w:hAnsiTheme="majorBidi" w:cstheme="majorBidi"/>
          <w:sz w:val="24"/>
          <w:szCs w:val="24"/>
          <w:rtl/>
        </w:rPr>
      </w:pPr>
      <w:r w:rsidRPr="0034295B">
        <w:rPr>
          <w:rFonts w:asciiTheme="majorBidi" w:hAnsiTheme="majorBidi" w:cstheme="majorBidi"/>
          <w:sz w:val="24"/>
          <w:szCs w:val="24"/>
          <w:rtl/>
        </w:rPr>
        <w:t>שוורץ ד', 'מדבר ומקדש: על דת ומדינה בימי בית שני', בתוך: גפני, י' ומוצקין ג', כהונה ומלוכה - יחסי דת ומדינה בישראל ובעמים, ירושלים תשמ"ז עמ' 78-61 [=שוורץ ד' (עורך), מחקרים בתולדות ישראל בתקופת הבית השני, מרכז זלמן שז"ר, ירושלים תשנ"ו עמ' 486-469].</w:t>
      </w:r>
    </w:p>
    <w:p w:rsidR="000A0ED8" w:rsidRPr="0034295B" w:rsidRDefault="000A0ED8" w:rsidP="0034295B">
      <w:pPr>
        <w:pStyle w:val="a6"/>
        <w:bidi w:val="0"/>
        <w:rPr>
          <w:rFonts w:asciiTheme="majorBidi" w:hAnsiTheme="majorBidi" w:cstheme="majorBidi"/>
          <w:sz w:val="24"/>
        </w:rPr>
      </w:pPr>
      <w:proofErr w:type="spellStart"/>
      <w:r w:rsidRPr="0034295B">
        <w:rPr>
          <w:rFonts w:asciiTheme="majorBidi" w:hAnsiTheme="majorBidi" w:cstheme="majorBidi"/>
          <w:sz w:val="24"/>
        </w:rPr>
        <w:t>Patai</w:t>
      </w:r>
      <w:proofErr w:type="spellEnd"/>
      <w:r w:rsidRPr="0034295B">
        <w:rPr>
          <w:rFonts w:asciiTheme="majorBidi" w:hAnsiTheme="majorBidi" w:cstheme="majorBidi"/>
          <w:sz w:val="24"/>
        </w:rPr>
        <w:t xml:space="preserve">, R., </w:t>
      </w:r>
      <w:r w:rsidRPr="0034295B">
        <w:rPr>
          <w:rFonts w:asciiTheme="majorBidi" w:hAnsiTheme="majorBidi" w:cstheme="majorBidi"/>
          <w:i/>
          <w:iCs/>
          <w:sz w:val="24"/>
        </w:rPr>
        <w:t>Man and Temple In Ancient Jewish Myth and Ritual</w:t>
      </w:r>
      <w:proofErr w:type="gramStart"/>
      <w:r w:rsidRPr="0034295B">
        <w:rPr>
          <w:rFonts w:asciiTheme="majorBidi" w:hAnsiTheme="majorBidi" w:cstheme="majorBidi"/>
          <w:i/>
          <w:iCs/>
          <w:sz w:val="24"/>
        </w:rPr>
        <w:t xml:space="preserve">, </w:t>
      </w:r>
      <w:r w:rsidRPr="0034295B">
        <w:rPr>
          <w:rFonts w:asciiTheme="majorBidi" w:hAnsiTheme="majorBidi" w:cstheme="majorBidi"/>
          <w:sz w:val="24"/>
        </w:rPr>
        <w:t xml:space="preserve"> London</w:t>
      </w:r>
      <w:proofErr w:type="gramEnd"/>
      <w:r w:rsidRPr="0034295B">
        <w:rPr>
          <w:rFonts w:asciiTheme="majorBidi" w:hAnsiTheme="majorBidi" w:cstheme="majorBidi"/>
          <w:sz w:val="24"/>
        </w:rPr>
        <w:t xml:space="preserve"> 1947. </w:t>
      </w:r>
    </w:p>
    <w:p w:rsidR="000A0ED8" w:rsidRPr="0034295B" w:rsidRDefault="0034295B" w:rsidP="0034295B">
      <w:pPr>
        <w:bidi w:val="0"/>
        <w:spacing w:after="0" w:line="360" w:lineRule="auto"/>
        <w:rPr>
          <w:rFonts w:asciiTheme="majorBidi" w:hAnsiTheme="majorBidi" w:cstheme="majorBidi"/>
          <w:sz w:val="24"/>
          <w:szCs w:val="24"/>
        </w:rPr>
      </w:pPr>
      <w:r w:rsidRPr="0034295B">
        <w:rPr>
          <w:rFonts w:asciiTheme="majorBidi" w:hAnsiTheme="majorBidi" w:cstheme="majorBidi"/>
          <w:sz w:val="24"/>
          <w:szCs w:val="24"/>
        </w:rPr>
        <w:t xml:space="preserve">Regev, E., </w:t>
      </w:r>
      <w:r w:rsidRPr="0034295B">
        <w:rPr>
          <w:rFonts w:asciiTheme="majorBidi" w:hAnsiTheme="majorBidi" w:cstheme="majorBidi"/>
          <w:i/>
          <w:iCs/>
          <w:sz w:val="24"/>
          <w:szCs w:val="24"/>
        </w:rPr>
        <w:t>The Temple in Early Christianity: Experiencing the Sacred</w:t>
      </w:r>
      <w:r w:rsidRPr="0034295B">
        <w:rPr>
          <w:rFonts w:asciiTheme="majorBidi" w:hAnsiTheme="majorBidi" w:cstheme="majorBidi"/>
          <w:sz w:val="24"/>
          <w:szCs w:val="24"/>
        </w:rPr>
        <w:t>, Anchor Yale Bible Reference Library</w:t>
      </w:r>
      <w:proofErr w:type="gramStart"/>
      <w:r w:rsidRPr="0034295B">
        <w:rPr>
          <w:rFonts w:asciiTheme="majorBidi" w:hAnsiTheme="majorBidi" w:cstheme="majorBidi"/>
          <w:sz w:val="24"/>
          <w:szCs w:val="24"/>
        </w:rPr>
        <w:t>,,</w:t>
      </w:r>
      <w:proofErr w:type="gramEnd"/>
      <w:r w:rsidRPr="0034295B">
        <w:rPr>
          <w:rFonts w:asciiTheme="majorBidi" w:hAnsiTheme="majorBidi" w:cstheme="majorBidi"/>
          <w:sz w:val="24"/>
          <w:szCs w:val="24"/>
        </w:rPr>
        <w:t xml:space="preserve"> Yale University Press 2019.</w:t>
      </w:r>
    </w:p>
    <w:p w:rsidR="000A0ED8" w:rsidRPr="0034295B" w:rsidRDefault="000A0ED8" w:rsidP="0034295B">
      <w:pPr>
        <w:pStyle w:val="a6"/>
        <w:bidi w:val="0"/>
        <w:rPr>
          <w:rFonts w:asciiTheme="majorBidi" w:hAnsiTheme="majorBidi" w:cstheme="majorBidi"/>
          <w:sz w:val="24"/>
        </w:rPr>
      </w:pPr>
      <w:r w:rsidRPr="0034295B">
        <w:rPr>
          <w:rFonts w:asciiTheme="majorBidi" w:hAnsiTheme="majorBidi" w:cstheme="majorBidi"/>
          <w:sz w:val="24"/>
        </w:rPr>
        <w:t xml:space="preserve">Sanders, E. P., </w:t>
      </w:r>
      <w:r w:rsidRPr="0034295B">
        <w:rPr>
          <w:rFonts w:asciiTheme="majorBidi" w:hAnsiTheme="majorBidi" w:cstheme="majorBidi"/>
          <w:i/>
          <w:iCs/>
          <w:sz w:val="24"/>
        </w:rPr>
        <w:t>Judaism, Practice and Belief, 63 BCE-66 CE</w:t>
      </w:r>
      <w:r w:rsidRPr="0034295B">
        <w:rPr>
          <w:rFonts w:asciiTheme="majorBidi" w:hAnsiTheme="majorBidi" w:cstheme="majorBidi"/>
          <w:sz w:val="24"/>
        </w:rPr>
        <w:t>, London-Philadelphia, chapters 6-7.</w:t>
      </w:r>
    </w:p>
    <w:p w:rsidR="000A0ED8" w:rsidRPr="0034295B" w:rsidRDefault="000A0ED8" w:rsidP="0034295B">
      <w:pPr>
        <w:spacing w:after="0" w:line="360" w:lineRule="auto"/>
        <w:rPr>
          <w:rFonts w:asciiTheme="majorBidi" w:hAnsiTheme="majorBidi" w:cstheme="majorBidi"/>
          <w:sz w:val="24"/>
          <w:szCs w:val="24"/>
        </w:rPr>
      </w:pPr>
    </w:p>
    <w:p w:rsidR="0034295B" w:rsidRPr="0034295B" w:rsidRDefault="0034295B">
      <w:pPr>
        <w:spacing w:after="0" w:line="360" w:lineRule="auto"/>
        <w:rPr>
          <w:rFonts w:asciiTheme="majorBidi" w:hAnsiTheme="majorBidi" w:cstheme="majorBidi"/>
          <w:sz w:val="24"/>
          <w:szCs w:val="24"/>
        </w:rPr>
      </w:pPr>
    </w:p>
    <w:sectPr w:rsidR="0034295B" w:rsidRPr="0034295B" w:rsidSect="005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135C"/>
    <w:multiLevelType w:val="hybridMultilevel"/>
    <w:tmpl w:val="2F80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CD"/>
    <w:rsid w:val="000835CD"/>
    <w:rsid w:val="000A0ED8"/>
    <w:rsid w:val="002A6229"/>
    <w:rsid w:val="0034295B"/>
    <w:rsid w:val="0038131E"/>
    <w:rsid w:val="004976FC"/>
    <w:rsid w:val="005A6A19"/>
    <w:rsid w:val="00614111"/>
    <w:rsid w:val="009D37C3"/>
    <w:rsid w:val="009F18DE"/>
    <w:rsid w:val="00BA056B"/>
    <w:rsid w:val="00C166B7"/>
    <w:rsid w:val="00E15D0F"/>
    <w:rsid w:val="00F31438"/>
    <w:rsid w:val="00F50C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1054F-A6B8-4E0A-85C5-F682CBA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0F"/>
    <w:pPr>
      <w:bidi/>
    </w:pPr>
  </w:style>
  <w:style w:type="paragraph" w:styleId="1">
    <w:name w:val="heading 1"/>
    <w:basedOn w:val="a"/>
    <w:link w:val="10"/>
    <w:uiPriority w:val="9"/>
    <w:qFormat/>
    <w:rsid w:val="00E15D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ת שוליים"/>
    <w:basedOn w:val="a"/>
    <w:qFormat/>
    <w:rsid w:val="00E15D0F"/>
    <w:pPr>
      <w:shd w:val="clear" w:color="auto" w:fill="FFFFFF"/>
      <w:spacing w:after="0" w:line="360" w:lineRule="auto"/>
      <w:jc w:val="both"/>
    </w:pPr>
    <w:rPr>
      <w:rFonts w:cstheme="majorBidi"/>
      <w:b/>
      <w:sz w:val="20"/>
      <w:szCs w:val="20"/>
    </w:rPr>
  </w:style>
  <w:style w:type="character" w:customStyle="1" w:styleId="10">
    <w:name w:val="כותרת 1 תו"/>
    <w:basedOn w:val="a0"/>
    <w:link w:val="1"/>
    <w:uiPriority w:val="9"/>
    <w:rsid w:val="00E15D0F"/>
    <w:rPr>
      <w:rFonts w:ascii="Times New Roman" w:eastAsia="Times New Roman" w:hAnsi="Times New Roman" w:cs="Times New Roman"/>
      <w:b/>
      <w:bCs/>
      <w:kern w:val="36"/>
      <w:sz w:val="48"/>
      <w:szCs w:val="48"/>
    </w:rPr>
  </w:style>
  <w:style w:type="character" w:styleId="a4">
    <w:name w:val="Emphasis"/>
    <w:basedOn w:val="a0"/>
    <w:uiPriority w:val="20"/>
    <w:qFormat/>
    <w:rsid w:val="00E15D0F"/>
    <w:rPr>
      <w:i/>
      <w:iCs/>
    </w:rPr>
  </w:style>
  <w:style w:type="paragraph" w:styleId="a5">
    <w:name w:val="List Paragraph"/>
    <w:basedOn w:val="a"/>
    <w:uiPriority w:val="34"/>
    <w:qFormat/>
    <w:rsid w:val="00E15D0F"/>
    <w:pPr>
      <w:ind w:left="720"/>
      <w:contextualSpacing/>
    </w:pPr>
  </w:style>
  <w:style w:type="paragraph" w:customStyle="1" w:styleId="a6">
    <w:name w:val="ג'ון לנון"/>
    <w:basedOn w:val="a"/>
    <w:uiPriority w:val="99"/>
    <w:rsid w:val="0038131E"/>
    <w:pPr>
      <w:widowControl w:val="0"/>
      <w:tabs>
        <w:tab w:val="left" w:pos="432"/>
      </w:tabs>
      <w:autoSpaceDE w:val="0"/>
      <w:autoSpaceDN w:val="0"/>
      <w:spacing w:after="0" w:line="360" w:lineRule="auto"/>
      <w:jc w:val="both"/>
    </w:pPr>
    <w:rPr>
      <w:rFonts w:ascii="Times New Roman" w:eastAsiaTheme="minorEastAsia" w:hAnsi="Times New Roman" w:cs="Times New Roman"/>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E4A2-FFBC-42DE-8ED8-8796A954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623</Words>
  <Characters>3119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Israel Dept</cp:lastModifiedBy>
  <cp:revision>4</cp:revision>
  <dcterms:created xsi:type="dcterms:W3CDTF">2019-04-17T14:52:00Z</dcterms:created>
  <dcterms:modified xsi:type="dcterms:W3CDTF">2019-04-18T09:28:00Z</dcterms:modified>
</cp:coreProperties>
</file>