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52" w:rsidRPr="0040229E" w:rsidRDefault="0040229E" w:rsidP="0040229E">
      <w:pPr>
        <w:spacing w:line="360" w:lineRule="auto"/>
        <w:jc w:val="right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rtl/>
        </w:rPr>
        <w:t>תאריך עדכון</w:t>
      </w:r>
      <w:r>
        <w:rPr>
          <w:rFonts w:ascii="Arial" w:hAnsi="Arial" w:cs="Tahoma" w:hint="cs"/>
          <w:bCs/>
          <w:rtl/>
        </w:rPr>
        <w:t>: 22/4/18</w:t>
      </w:r>
    </w:p>
    <w:p w:rsidR="00587EEB" w:rsidRPr="0040229E" w:rsidRDefault="00587EEB" w:rsidP="00ED12CF">
      <w:pPr>
        <w:spacing w:line="360" w:lineRule="auto"/>
        <w:ind w:left="5040"/>
        <w:rPr>
          <w:rFonts w:ascii="Arial" w:hAnsi="Arial" w:cs="Tahoma"/>
          <w:bCs/>
          <w:sz w:val="36"/>
          <w:szCs w:val="36"/>
          <w:rtl/>
        </w:rPr>
      </w:pPr>
    </w:p>
    <w:p w:rsidR="00DD686B" w:rsidRPr="0040229E" w:rsidRDefault="00DD686B" w:rsidP="00ED12CF">
      <w:pPr>
        <w:spacing w:line="360" w:lineRule="auto"/>
        <w:jc w:val="center"/>
        <w:rPr>
          <w:rFonts w:ascii="Arial" w:hAnsi="Arial" w:cs="Tahoma" w:hint="cs"/>
          <w:bCs/>
          <w:sz w:val="36"/>
          <w:szCs w:val="36"/>
          <w:rtl/>
        </w:rPr>
      </w:pPr>
      <w:r w:rsidRPr="0040229E">
        <w:rPr>
          <w:rFonts w:ascii="Arial" w:hAnsi="Arial" w:cs="Tahoma"/>
          <w:bCs/>
          <w:sz w:val="36"/>
          <w:szCs w:val="36"/>
          <w:rtl/>
        </w:rPr>
        <w:t xml:space="preserve">שם ומספר הקורס:  </w:t>
      </w:r>
    </w:p>
    <w:p w:rsidR="007F3F7C" w:rsidRPr="0040229E" w:rsidRDefault="007F3F7C" w:rsidP="00ED12CF">
      <w:pPr>
        <w:spacing w:line="360" w:lineRule="auto"/>
        <w:jc w:val="center"/>
        <w:rPr>
          <w:rFonts w:ascii="Arial" w:hAnsi="Arial" w:cs="Tahoma" w:hint="cs"/>
          <w:bCs/>
          <w:sz w:val="36"/>
          <w:szCs w:val="36"/>
          <w:rtl/>
        </w:rPr>
      </w:pPr>
      <w:bookmarkStart w:id="0" w:name="_GoBack"/>
      <w:r w:rsidRPr="0040229E">
        <w:rPr>
          <w:rFonts w:ascii="Arial" w:hAnsi="Arial" w:cs="Tahoma" w:hint="cs"/>
          <w:bCs/>
          <w:sz w:val="36"/>
          <w:szCs w:val="36"/>
          <w:rtl/>
        </w:rPr>
        <w:t>כתות וכיתות בארץ-ישראל בימי בית שני</w:t>
      </w:r>
    </w:p>
    <w:bookmarkEnd w:id="0"/>
    <w:p w:rsidR="007F3F7C" w:rsidRPr="0040229E" w:rsidRDefault="007F3F7C" w:rsidP="00ED12CF">
      <w:pPr>
        <w:spacing w:line="360" w:lineRule="auto"/>
        <w:jc w:val="center"/>
        <w:rPr>
          <w:rFonts w:ascii="Arial" w:hAnsi="Arial" w:cs="Tahoma" w:hint="cs"/>
          <w:bCs/>
          <w:sz w:val="36"/>
          <w:szCs w:val="36"/>
          <w:rtl/>
        </w:rPr>
      </w:pPr>
      <w:r w:rsidRPr="0040229E">
        <w:rPr>
          <w:sz w:val="36"/>
          <w:szCs w:val="36"/>
        </w:rPr>
        <w:t>16-332</w:t>
      </w:r>
    </w:p>
    <w:p w:rsidR="00CB0752" w:rsidRPr="0040229E" w:rsidRDefault="00CB0752" w:rsidP="00ED12CF">
      <w:pPr>
        <w:spacing w:line="360" w:lineRule="auto"/>
        <w:jc w:val="center"/>
        <w:rPr>
          <w:rFonts w:ascii="Arial" w:hAnsi="Arial" w:cs="Tahoma" w:hint="cs"/>
          <w:szCs w:val="20"/>
          <w:rtl/>
        </w:rPr>
      </w:pPr>
      <w:r w:rsidRPr="0040229E">
        <w:rPr>
          <w:rFonts w:ascii="Arial" w:hAnsi="Arial" w:cs="Tahoma"/>
          <w:bCs/>
          <w:sz w:val="36"/>
          <w:szCs w:val="28"/>
          <w:rtl/>
        </w:rPr>
        <w:t>שם המרצה:</w:t>
      </w:r>
      <w:r w:rsidR="007F3F7C" w:rsidRPr="0040229E">
        <w:rPr>
          <w:rFonts w:ascii="Arial" w:hAnsi="Arial" w:cs="Tahoma" w:hint="cs"/>
          <w:szCs w:val="20"/>
          <w:rtl/>
        </w:rPr>
        <w:t xml:space="preserve"> פרופ' איל רגב</w:t>
      </w:r>
    </w:p>
    <w:p w:rsidR="0040229E" w:rsidRDefault="00DD686B" w:rsidP="0040229E">
      <w:pPr>
        <w:spacing w:line="360" w:lineRule="auto"/>
        <w:jc w:val="center"/>
        <w:rPr>
          <w:rFonts w:ascii="Arial" w:hAnsi="Arial" w:cs="Arial"/>
          <w:rtl/>
        </w:rPr>
      </w:pPr>
      <w:r w:rsidRPr="0040229E">
        <w:rPr>
          <w:rFonts w:ascii="Arial" w:hAnsi="Arial" w:cs="Arial"/>
          <w:b/>
          <w:bCs/>
          <w:rtl/>
        </w:rPr>
        <w:t>סוג הקורס:</w:t>
      </w:r>
      <w:r w:rsidR="007F3F7C" w:rsidRPr="0040229E">
        <w:rPr>
          <w:rFonts w:ascii="Arial" w:hAnsi="Arial" w:cs="Arial"/>
          <w:rtl/>
        </w:rPr>
        <w:t xml:space="preserve"> </w:t>
      </w:r>
      <w:r w:rsidR="0040229E">
        <w:rPr>
          <w:rFonts w:ascii="Arial" w:hAnsi="Arial" w:cs="Arial" w:hint="cs"/>
          <w:rtl/>
        </w:rPr>
        <w:t>הרצאה</w:t>
      </w:r>
    </w:p>
    <w:p w:rsidR="00DD686B" w:rsidRPr="0040229E" w:rsidRDefault="00DD686B" w:rsidP="0040229E">
      <w:pPr>
        <w:spacing w:line="360" w:lineRule="auto"/>
        <w:jc w:val="center"/>
        <w:rPr>
          <w:rFonts w:ascii="Arial" w:hAnsi="Arial" w:cs="Arial"/>
          <w:rtl/>
        </w:rPr>
      </w:pPr>
      <w:r w:rsidRPr="0040229E">
        <w:rPr>
          <w:rFonts w:ascii="Arial" w:hAnsi="Arial" w:cs="Arial"/>
          <w:b/>
          <w:bCs/>
          <w:rtl/>
        </w:rPr>
        <w:t>שנת לימודים</w:t>
      </w:r>
      <w:r w:rsidRPr="0040229E">
        <w:rPr>
          <w:rFonts w:ascii="Arial" w:hAnsi="Arial" w:cs="Arial"/>
          <w:rtl/>
        </w:rPr>
        <w:t xml:space="preserve">: </w:t>
      </w:r>
      <w:r w:rsidR="0040229E">
        <w:rPr>
          <w:rFonts w:ascii="Arial" w:hAnsi="Arial" w:cs="Arial" w:hint="cs"/>
          <w:rtl/>
        </w:rPr>
        <w:t>תשע"ט</w:t>
      </w:r>
      <w:r w:rsidR="0040229E">
        <w:rPr>
          <w:rFonts w:ascii="Arial" w:hAnsi="Arial" w:cs="Arial"/>
          <w:rtl/>
        </w:rPr>
        <w:t xml:space="preserve">                 </w:t>
      </w:r>
      <w:r w:rsidRPr="0040229E">
        <w:rPr>
          <w:rFonts w:ascii="Arial" w:hAnsi="Arial" w:cs="Arial"/>
          <w:rtl/>
        </w:rPr>
        <w:t xml:space="preserve"> </w:t>
      </w:r>
      <w:r w:rsidRPr="0040229E">
        <w:rPr>
          <w:rFonts w:ascii="Arial" w:hAnsi="Arial" w:cs="Arial"/>
          <w:b/>
          <w:bCs/>
          <w:rtl/>
        </w:rPr>
        <w:t>סמסטר</w:t>
      </w:r>
      <w:r w:rsidRPr="0040229E">
        <w:rPr>
          <w:rFonts w:ascii="Arial" w:hAnsi="Arial" w:cs="Arial"/>
          <w:rtl/>
        </w:rPr>
        <w:t xml:space="preserve">: </w:t>
      </w:r>
      <w:r w:rsidR="0040229E">
        <w:rPr>
          <w:rFonts w:ascii="Arial" w:hAnsi="Arial" w:cs="Arial" w:hint="cs"/>
          <w:rtl/>
        </w:rPr>
        <w:t>שנתי</w:t>
      </w:r>
      <w:r w:rsidR="0040229E">
        <w:rPr>
          <w:rFonts w:ascii="Arial" w:hAnsi="Arial" w:cs="Arial"/>
          <w:rtl/>
        </w:rPr>
        <w:t xml:space="preserve">                          </w:t>
      </w:r>
      <w:r w:rsidRPr="0040229E">
        <w:rPr>
          <w:rFonts w:ascii="Arial" w:hAnsi="Arial" w:cs="Arial"/>
          <w:b/>
          <w:bCs/>
          <w:rtl/>
        </w:rPr>
        <w:t>היקף שעות</w:t>
      </w:r>
      <w:r w:rsidRPr="0040229E">
        <w:rPr>
          <w:rFonts w:ascii="Arial" w:hAnsi="Arial" w:cs="Arial"/>
          <w:rtl/>
        </w:rPr>
        <w:t xml:space="preserve">:  </w:t>
      </w:r>
      <w:r w:rsidR="0040229E">
        <w:rPr>
          <w:rFonts w:ascii="Arial" w:hAnsi="Arial" w:cs="Arial" w:hint="cs"/>
          <w:rtl/>
        </w:rPr>
        <w:t>2 ש"ש</w:t>
      </w:r>
    </w:p>
    <w:p w:rsidR="0040229E" w:rsidRDefault="0040229E" w:rsidP="00ED12CF">
      <w:pPr>
        <w:spacing w:line="360" w:lineRule="auto"/>
        <w:rPr>
          <w:rFonts w:ascii="Arial" w:hAnsi="Arial" w:cs="Arial"/>
          <w:b/>
          <w:bCs/>
          <w:rtl/>
        </w:rPr>
      </w:pPr>
    </w:p>
    <w:p w:rsidR="00DD686B" w:rsidRPr="0040229E" w:rsidRDefault="00DD686B" w:rsidP="00ED12CF">
      <w:pPr>
        <w:spacing w:line="360" w:lineRule="auto"/>
        <w:rPr>
          <w:rFonts w:ascii="Arial" w:hAnsi="Arial" w:cs="Arial"/>
        </w:rPr>
      </w:pPr>
      <w:r w:rsidRPr="0040229E">
        <w:rPr>
          <w:rFonts w:ascii="Arial" w:hAnsi="Arial" w:cs="Arial"/>
          <w:b/>
          <w:bCs/>
          <w:rtl/>
        </w:rPr>
        <w:t xml:space="preserve"> אתר הקורס באינטרנט:</w:t>
      </w:r>
      <w:r w:rsidRPr="0040229E">
        <w:rPr>
          <w:rFonts w:ascii="Arial" w:hAnsi="Arial" w:cs="Arial"/>
          <w:rtl/>
        </w:rPr>
        <w:t xml:space="preserve">           </w:t>
      </w:r>
    </w:p>
    <w:p w:rsidR="00DD686B" w:rsidRPr="003C070F" w:rsidRDefault="00DD686B" w:rsidP="00ED12CF">
      <w:pPr>
        <w:spacing w:line="360" w:lineRule="auto"/>
        <w:rPr>
          <w:sz w:val="28"/>
          <w:szCs w:val="28"/>
          <w:rtl/>
        </w:rPr>
      </w:pPr>
    </w:p>
    <w:p w:rsidR="001B302D" w:rsidRPr="003C070F" w:rsidRDefault="007762FE" w:rsidP="00ED12CF">
      <w:pPr>
        <w:spacing w:line="360" w:lineRule="auto"/>
        <w:ind w:left="26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א. </w:t>
      </w:r>
      <w:r w:rsidR="00DD686B" w:rsidRPr="003C070F">
        <w:rPr>
          <w:b/>
          <w:bCs/>
          <w:sz w:val="28"/>
          <w:szCs w:val="28"/>
          <w:rtl/>
        </w:rPr>
        <w:t>מטרות הקורס</w:t>
      </w:r>
      <w:r w:rsidR="009A208E" w:rsidRPr="003C070F">
        <w:rPr>
          <w:b/>
          <w:bCs/>
          <w:sz w:val="28"/>
          <w:szCs w:val="28"/>
          <w:rtl/>
        </w:rPr>
        <w:t xml:space="preserve"> ותוצרי למידה</w:t>
      </w:r>
      <w:r w:rsidR="00DD686B" w:rsidRPr="003C070F">
        <w:rPr>
          <w:b/>
          <w:bCs/>
          <w:sz w:val="28"/>
          <w:szCs w:val="28"/>
          <w:rtl/>
        </w:rPr>
        <w:t xml:space="preserve"> (מטרות על / מטרות ספציפיות):</w:t>
      </w:r>
    </w:p>
    <w:p w:rsidR="009263FA" w:rsidRPr="003C070F" w:rsidRDefault="00926520" w:rsidP="000461A1">
      <w:pPr>
        <w:spacing w:line="360" w:lineRule="auto"/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הכרת הכיתות השונות מכמה היבטים: אמונה דתית, הלכה, היסטוריה, מבנים חברתיים</w:t>
      </w:r>
      <w:r w:rsidR="00BD0A9C">
        <w:rPr>
          <w:rFonts w:hint="cs"/>
          <w:sz w:val="28"/>
          <w:szCs w:val="28"/>
          <w:rtl/>
        </w:rPr>
        <w:t xml:space="preserve">. הכרת היחסים בין הכתות השונות. התמודדות עם שאלות היסטוריוגרפיות של אמינות המקורות ומגמתיותם. פענוח כתובות ומגילות תוך התמודדות עם עדויות מכלי ראשון. הצלבה של מידע היסטורי וארכיאולוגי על כיתות מסוימות. </w:t>
      </w:r>
    </w:p>
    <w:p w:rsidR="00BC22C3" w:rsidRPr="003C070F" w:rsidRDefault="00BC22C3" w:rsidP="00ED12CF">
      <w:pPr>
        <w:spacing w:line="360" w:lineRule="auto"/>
        <w:ind w:left="26"/>
        <w:jc w:val="both"/>
        <w:rPr>
          <w:sz w:val="28"/>
          <w:szCs w:val="28"/>
          <w:rtl/>
        </w:rPr>
      </w:pPr>
    </w:p>
    <w:p w:rsidR="009263FA" w:rsidRPr="003C070F" w:rsidRDefault="009263FA" w:rsidP="00ED12CF">
      <w:pPr>
        <w:spacing w:line="360" w:lineRule="auto"/>
        <w:ind w:left="26"/>
        <w:rPr>
          <w:b/>
          <w:bCs/>
          <w:sz w:val="28"/>
          <w:szCs w:val="28"/>
          <w:rtl/>
        </w:rPr>
      </w:pPr>
    </w:p>
    <w:p w:rsidR="009A208E" w:rsidRPr="003C070F" w:rsidRDefault="00DD686B" w:rsidP="00ED12CF">
      <w:pPr>
        <w:spacing w:line="360" w:lineRule="auto"/>
        <w:ind w:left="26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ב. תוכן הקורס:</w:t>
      </w:r>
    </w:p>
    <w:p w:rsidR="0064775D" w:rsidRDefault="006C0BBA" w:rsidP="00BD0A9C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 w:rsidRPr="006C0BBA">
        <w:rPr>
          <w:b/>
          <w:bCs/>
          <w:sz w:val="28"/>
          <w:szCs w:val="28"/>
          <w:rtl/>
        </w:rPr>
        <w:t>רציונל, נושאים:</w:t>
      </w:r>
      <w:r>
        <w:rPr>
          <w:sz w:val="28"/>
          <w:szCs w:val="28"/>
          <w:rtl/>
        </w:rPr>
        <w:t xml:space="preserve"> </w:t>
      </w:r>
    </w:p>
    <w:p w:rsidR="00BD0A9C" w:rsidRDefault="00BD0A9C" w:rsidP="00BD0A9C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עיון ביקורתי בכיתות בית שני תוך הבחנה בין כיתות לכתות: הפרושים הצדוקים הסיקריים והקנאים וקבוצות שונות של אפוליפטיקנים שכתביהם השתמרו בספרים החיצוניים (חנוך א', היובלים, מזמורי שלמה, עליית משה) ובכתובות (חזון גבריאל) הם כיתות. כתות קומראן והאיסיים הם כתות. </w:t>
      </w:r>
      <w:r w:rsidR="00C63144">
        <w:rPr>
          <w:rFonts w:hint="cs"/>
          <w:sz w:val="28"/>
          <w:szCs w:val="28"/>
          <w:rtl/>
        </w:rPr>
        <w:t>כתבים עתיקים ינותחו, וייערך דיון היסטורי בהיבטים דתיים (אמונה והלכה) וחברתיים (יחסם בתוך הקבוצה ועם קבוצות אחרות) של כל אחת מן הקבוצות. בנוסף ידונו השומרונים, אמונותיהם ויחסיהם עם היהודים.</w:t>
      </w:r>
    </w:p>
    <w:p w:rsidR="00BD0A9C" w:rsidRPr="003C070F" w:rsidRDefault="00BD0A9C" w:rsidP="00BD0A9C">
      <w:pPr>
        <w:spacing w:line="360" w:lineRule="auto"/>
        <w:ind w:left="26"/>
        <w:jc w:val="both"/>
        <w:rPr>
          <w:sz w:val="28"/>
          <w:szCs w:val="28"/>
          <w:rtl/>
        </w:rPr>
      </w:pPr>
    </w:p>
    <w:p w:rsidR="00C63144" w:rsidRDefault="00DD686B" w:rsidP="00C63144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מהלך השיעורים:</w:t>
      </w:r>
      <w:r w:rsidR="00D00179" w:rsidRPr="003C070F">
        <w:rPr>
          <w:sz w:val="28"/>
          <w:szCs w:val="28"/>
          <w:rtl/>
        </w:rPr>
        <w:t xml:space="preserve"> </w:t>
      </w:r>
    </w:p>
    <w:p w:rsidR="00C63144" w:rsidRPr="00C63144" w:rsidRDefault="00C63144" w:rsidP="00C63144">
      <w:pPr>
        <w:spacing w:line="360" w:lineRule="auto"/>
        <w:ind w:left="26"/>
        <w:jc w:val="both"/>
        <w:rPr>
          <w:sz w:val="28"/>
          <w:szCs w:val="28"/>
          <w:rtl/>
        </w:rPr>
      </w:pPr>
      <w:r w:rsidRPr="00C63144">
        <w:rPr>
          <w:rFonts w:hint="cs"/>
          <w:sz w:val="28"/>
          <w:szCs w:val="28"/>
          <w:rtl/>
        </w:rPr>
        <w:lastRenderedPageBreak/>
        <w:t>מפגשים פרונטל</w:t>
      </w:r>
      <w:r>
        <w:rPr>
          <w:rFonts w:hint="cs"/>
          <w:sz w:val="28"/>
          <w:szCs w:val="28"/>
          <w:rtl/>
        </w:rPr>
        <w:t>י</w:t>
      </w:r>
      <w:r w:rsidRPr="00C63144">
        <w:rPr>
          <w:rFonts w:hint="cs"/>
          <w:sz w:val="28"/>
          <w:szCs w:val="28"/>
          <w:rtl/>
        </w:rPr>
        <w:t>ים</w:t>
      </w:r>
      <w:r>
        <w:rPr>
          <w:rFonts w:hint="cs"/>
          <w:sz w:val="28"/>
          <w:szCs w:val="28"/>
          <w:rtl/>
        </w:rPr>
        <w:t>, מטלות ודיונים באתר הקורס בהתאם למספר המשתתפים. סיורי שטח לאתרים ארכיאולוגיים ולמוזיאון ישראל.</w:t>
      </w:r>
    </w:p>
    <w:p w:rsidR="0064775D" w:rsidRPr="003C070F" w:rsidRDefault="0064775D" w:rsidP="00ED12CF">
      <w:pPr>
        <w:spacing w:line="360" w:lineRule="auto"/>
        <w:jc w:val="both"/>
        <w:rPr>
          <w:sz w:val="28"/>
          <w:szCs w:val="28"/>
          <w:rtl/>
        </w:rPr>
      </w:pPr>
    </w:p>
    <w:p w:rsidR="00DD686B" w:rsidRDefault="00DD686B" w:rsidP="00C63144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תכנית הוראה מפורטת לכל השיעורים: </w:t>
      </w:r>
      <w:r w:rsidR="006C0BBA">
        <w:rPr>
          <w:sz w:val="28"/>
          <w:szCs w:val="28"/>
          <w:rtl/>
        </w:rPr>
        <w:t>(</w:t>
      </w:r>
      <w:r w:rsidR="00C63144">
        <w:rPr>
          <w:rFonts w:hint="cs"/>
          <w:sz w:val="28"/>
          <w:szCs w:val="28"/>
          <w:rtl/>
        </w:rPr>
        <w:t>מטלות קריאה</w:t>
      </w:r>
      <w:r w:rsidRPr="003C070F">
        <w:rPr>
          <w:sz w:val="28"/>
          <w:szCs w:val="28"/>
          <w:rtl/>
        </w:rPr>
        <w:t>)</w:t>
      </w:r>
    </w:p>
    <w:p w:rsidR="00CC028D" w:rsidRDefault="00CC028D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</w:p>
    <w:p w:rsidR="00CC028D" w:rsidRDefault="00ED12CF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יוסף בן מתתיהו על כיתות בית שני</w:t>
      </w:r>
      <w:r w:rsidR="00681E2B">
        <w:rPr>
          <w:rFonts w:hint="cs"/>
          <w:sz w:val="28"/>
          <w:szCs w:val="28"/>
          <w:rtl/>
        </w:rPr>
        <w:t xml:space="preserve"> (קריאת טקסטים)</w:t>
      </w:r>
    </w:p>
    <w:p w:rsidR="00681E2B" w:rsidRDefault="00681E2B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הסיבות להופעת הכיתות הרבות  (באומגרטן, הכיתתיות)</w:t>
      </w:r>
    </w:p>
    <w:p w:rsidR="00ED12CF" w:rsidRDefault="00ED12CF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הצדוקים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הלכה והיסטוריה</w:t>
      </w:r>
      <w:r w:rsidR="00681E2B">
        <w:rPr>
          <w:rFonts w:hint="cs"/>
          <w:sz w:val="28"/>
          <w:szCs w:val="28"/>
          <w:rtl/>
        </w:rPr>
        <w:t xml:space="preserve"> (רגב, הצדוקים והלכתם)</w:t>
      </w:r>
    </w:p>
    <w:p w:rsidR="00ED12CF" w:rsidRDefault="00ED12CF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הפרושים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הלכה והיסטוריה</w:t>
      </w:r>
      <w:r w:rsidR="00681E2B">
        <w:rPr>
          <w:rFonts w:hint="cs"/>
          <w:sz w:val="28"/>
          <w:szCs w:val="28"/>
          <w:rtl/>
        </w:rPr>
        <w:t xml:space="preserve"> (רגב, הצדוקים והלכתם)</w:t>
      </w:r>
    </w:p>
    <w:p w:rsidR="00ED12CF" w:rsidRDefault="00ED12CF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הצדוקים והפרושים/ הכוהן והחכם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ניתוח חברתי של המאבק ביניהם</w:t>
      </w:r>
      <w:r w:rsidR="00681E2B">
        <w:rPr>
          <w:rFonts w:hint="cs"/>
          <w:sz w:val="28"/>
          <w:szCs w:val="28"/>
          <w:rtl/>
        </w:rPr>
        <w:t xml:space="preserve"> (רגב, הצדוקים והלכתם פרק י)</w:t>
      </w:r>
    </w:p>
    <w:p w:rsidR="00ED12CF" w:rsidRDefault="00ED12CF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האיסיים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לפי יוסף בן מתתיהו ופילון</w:t>
      </w:r>
      <w:r w:rsidR="00681E2B">
        <w:rPr>
          <w:rFonts w:hint="cs"/>
          <w:sz w:val="28"/>
          <w:szCs w:val="28"/>
          <w:rtl/>
        </w:rPr>
        <w:t xml:space="preserve"> (</w:t>
      </w:r>
      <w:r w:rsidR="00926520">
        <w:rPr>
          <w:rFonts w:hint="cs"/>
          <w:sz w:val="28"/>
          <w:szCs w:val="28"/>
          <w:rtl/>
        </w:rPr>
        <w:t>קריאת טקסטים;</w:t>
      </w:r>
      <w:r w:rsidR="00681E2B">
        <w:rPr>
          <w:rFonts w:hint="cs"/>
          <w:sz w:val="28"/>
          <w:szCs w:val="28"/>
          <w:rtl/>
        </w:rPr>
        <w:t>; בר-כוכבא, האיסיים)</w:t>
      </w:r>
    </w:p>
    <w:p w:rsidR="00ED12CF" w:rsidRDefault="00ED12CF" w:rsidP="00E82113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כיתות אפוקליפטיות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דניאל, חנוך, היובלים</w:t>
      </w:r>
      <w:r w:rsidR="00681E2B">
        <w:rPr>
          <w:rFonts w:hint="cs"/>
          <w:sz w:val="28"/>
          <w:szCs w:val="28"/>
          <w:rtl/>
        </w:rPr>
        <w:t xml:space="preserve"> (קריאת טקסטים</w:t>
      </w:r>
      <w:r w:rsidR="00E82113">
        <w:rPr>
          <w:rFonts w:hint="cs"/>
          <w:sz w:val="28"/>
          <w:szCs w:val="28"/>
          <w:rtl/>
        </w:rPr>
        <w:t xml:space="preserve">, </w:t>
      </w:r>
      <w:r w:rsidR="00E82113">
        <w:rPr>
          <w:sz w:val="28"/>
          <w:szCs w:val="28"/>
        </w:rPr>
        <w:t>Collins, Apocalyptic Imagination</w:t>
      </w:r>
      <w:r w:rsidR="00926520">
        <w:rPr>
          <w:rFonts w:hint="cs"/>
          <w:sz w:val="28"/>
          <w:szCs w:val="28"/>
          <w:rtl/>
        </w:rPr>
        <w:t>; ירדני ואליצור, חזון גבריאל; קנוהל, חזון גבריאל</w:t>
      </w:r>
      <w:r w:rsidR="00681E2B">
        <w:rPr>
          <w:rFonts w:hint="cs"/>
          <w:sz w:val="28"/>
          <w:szCs w:val="28"/>
          <w:rtl/>
        </w:rPr>
        <w:t>)</w:t>
      </w:r>
    </w:p>
    <w:p w:rsidR="00ED12CF" w:rsidRDefault="00ED12CF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כיתות אופיזציונריות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מזמורי שלמה ועליית משה</w:t>
      </w:r>
      <w:r w:rsidR="00E82113">
        <w:rPr>
          <w:rFonts w:hint="cs"/>
          <w:sz w:val="28"/>
          <w:szCs w:val="28"/>
          <w:rtl/>
        </w:rPr>
        <w:t xml:space="preserve"> (קריאת טקסטים)</w:t>
      </w:r>
    </w:p>
    <w:p w:rsidR="00D36903" w:rsidRDefault="00D36903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השומרונים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בעיני יהודים ובעיני שומרונים </w:t>
      </w:r>
      <w:r w:rsidR="00E82113">
        <w:rPr>
          <w:rFonts w:hint="cs"/>
          <w:sz w:val="28"/>
          <w:szCs w:val="28"/>
          <w:rtl/>
        </w:rPr>
        <w:t>(</w:t>
      </w:r>
      <w:r w:rsidR="00B74925">
        <w:rPr>
          <w:rFonts w:hint="cs"/>
          <w:sz w:val="28"/>
          <w:szCs w:val="28"/>
          <w:rtl/>
        </w:rPr>
        <w:t xml:space="preserve">מגן, הר גריזים; </w:t>
      </w:r>
      <w:r w:rsidR="00E82113">
        <w:rPr>
          <w:rFonts w:hint="cs"/>
          <w:sz w:val="28"/>
          <w:szCs w:val="28"/>
          <w:rtl/>
        </w:rPr>
        <w:t>אשל, האמונה בהר גריזים)</w:t>
      </w:r>
    </w:p>
    <w:p w:rsidR="00ED12CF" w:rsidRDefault="00ED12CF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קנאים וסיקריים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לפי יוסף בן מתתיהו</w:t>
      </w:r>
      <w:r w:rsidR="00B74925">
        <w:rPr>
          <w:rFonts w:hint="cs"/>
          <w:sz w:val="28"/>
          <w:szCs w:val="28"/>
          <w:rtl/>
        </w:rPr>
        <w:t xml:space="preserve"> (שטרן, הקנאים)</w:t>
      </w:r>
    </w:p>
    <w:p w:rsidR="00ED12CF" w:rsidRDefault="00ED12CF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קנאים וסיקריים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העדות הארכיאולוגית</w:t>
      </w:r>
      <w:r w:rsidR="00B74925">
        <w:rPr>
          <w:rFonts w:hint="cs"/>
          <w:sz w:val="28"/>
          <w:szCs w:val="28"/>
          <w:rtl/>
        </w:rPr>
        <w:t xml:space="preserve"> בהרודיון ומצדה (בן תור, מצדה)</w:t>
      </w:r>
    </w:p>
    <w:p w:rsidR="00D14FE3" w:rsidRDefault="00D14FE3" w:rsidP="00D14FE3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כתות קומראן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אידיאול</w:t>
      </w:r>
      <w:r w:rsidR="00B74925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גיה והיסטוריה</w:t>
      </w:r>
      <w:r w:rsidR="00B74925">
        <w:rPr>
          <w:rFonts w:hint="cs"/>
          <w:sz w:val="28"/>
          <w:szCs w:val="28"/>
          <w:rtl/>
        </w:rPr>
        <w:t xml:space="preserve"> (קריאת טקסטים; רגב, טומאת המקדש)</w:t>
      </w:r>
    </w:p>
    <w:p w:rsidR="00D14FE3" w:rsidRDefault="00D14FE3" w:rsidP="00501C25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היחד וברית דמשק (ממגילות קומראן)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ארגון חברתי</w:t>
      </w:r>
      <w:r w:rsidR="00501C25">
        <w:rPr>
          <w:rFonts w:hint="cs"/>
          <w:sz w:val="28"/>
          <w:szCs w:val="28"/>
          <w:rtl/>
        </w:rPr>
        <w:t xml:space="preserve"> (שיפמן, ארגון ומנהיגות; רגב, כמה כיתות)</w:t>
      </w:r>
    </w:p>
    <w:p w:rsidR="00D14FE3" w:rsidRDefault="00D14FE3" w:rsidP="00501C25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משיחיות בימי בית שני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תופעה כיתתית?</w:t>
      </w:r>
      <w:r w:rsidR="00501C25">
        <w:rPr>
          <w:rFonts w:hint="cs"/>
          <w:sz w:val="28"/>
          <w:szCs w:val="28"/>
          <w:rtl/>
        </w:rPr>
        <w:t xml:space="preserve"> (שיפמן, הלכה, הליכה ומשיחיות;</w:t>
      </w:r>
      <w:r w:rsidR="00501C25">
        <w:rPr>
          <w:sz w:val="28"/>
          <w:szCs w:val="28"/>
        </w:rPr>
        <w:t>Collins, Apocalyptic Imagination</w:t>
      </w:r>
      <w:r w:rsidR="00501C25">
        <w:rPr>
          <w:rFonts w:hint="cs"/>
          <w:sz w:val="28"/>
          <w:szCs w:val="28"/>
          <w:rtl/>
        </w:rPr>
        <w:t>)</w:t>
      </w:r>
    </w:p>
    <w:p w:rsidR="00D14FE3" w:rsidRDefault="00D14FE3" w:rsidP="00D14FE3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כיתתיות בקומראן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ניתוח חברתי והשוואה לכתות מודרניות</w:t>
      </w:r>
      <w:r w:rsidR="00501C25">
        <w:rPr>
          <w:rFonts w:hint="cs"/>
          <w:sz w:val="28"/>
          <w:szCs w:val="28"/>
          <w:rtl/>
        </w:rPr>
        <w:t xml:space="preserve"> (</w:t>
      </w:r>
      <w:r w:rsidR="00501C25">
        <w:rPr>
          <w:sz w:val="28"/>
          <w:szCs w:val="28"/>
        </w:rPr>
        <w:t>Regev, Sectarianism in Qumran</w:t>
      </w:r>
      <w:r w:rsidR="00501C25">
        <w:rPr>
          <w:rFonts w:hint="cs"/>
          <w:sz w:val="28"/>
          <w:szCs w:val="28"/>
          <w:rtl/>
        </w:rPr>
        <w:t>)</w:t>
      </w:r>
    </w:p>
    <w:p w:rsidR="00D14FE3" w:rsidRDefault="00D14FE3" w:rsidP="00D14FE3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האם הנוצרים היו כת? </w:t>
      </w:r>
      <w:r w:rsidR="00501C25">
        <w:rPr>
          <w:rFonts w:hint="cs"/>
          <w:sz w:val="28"/>
          <w:szCs w:val="28"/>
          <w:rtl/>
        </w:rPr>
        <w:t>(</w:t>
      </w:r>
      <w:r w:rsidR="00501C25">
        <w:rPr>
          <w:sz w:val="28"/>
          <w:szCs w:val="28"/>
        </w:rPr>
        <w:t>Regev, Were the Early Christians Sectarians</w:t>
      </w:r>
      <w:r w:rsidR="00501C25">
        <w:rPr>
          <w:rFonts w:hint="cs"/>
          <w:sz w:val="28"/>
          <w:szCs w:val="28"/>
          <w:rtl/>
        </w:rPr>
        <w:t>)</w:t>
      </w:r>
    </w:p>
    <w:p w:rsidR="00D14FE3" w:rsidRDefault="00D14FE3" w:rsidP="00D14FE3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בין כת לקאלט</w:t>
      </w:r>
      <w:r w:rsidR="00501C25">
        <w:rPr>
          <w:rFonts w:hint="cs"/>
          <w:sz w:val="28"/>
          <w:szCs w:val="28"/>
          <w:rtl/>
        </w:rPr>
        <w:t xml:space="preserve"> (</w:t>
      </w:r>
      <w:r w:rsidR="00501C25">
        <w:rPr>
          <w:sz w:val="28"/>
          <w:szCs w:val="28"/>
        </w:rPr>
        <w:t>Regev, Early Christianity in Light of NRMs</w:t>
      </w:r>
      <w:r w:rsidR="00501C25">
        <w:rPr>
          <w:rFonts w:hint="cs"/>
          <w:sz w:val="28"/>
          <w:szCs w:val="28"/>
          <w:rtl/>
        </w:rPr>
        <w:t>)</w:t>
      </w:r>
    </w:p>
    <w:p w:rsidR="00D14FE3" w:rsidRDefault="00D14FE3" w:rsidP="00D14FE3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תפקידו של המנהיג בכת או קאלט</w:t>
      </w:r>
    </w:p>
    <w:p w:rsidR="00D36903" w:rsidRDefault="00D36903" w:rsidP="00D14FE3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החברה היהודית בירושלים ערב המרד הגדול ובמהלכו</w:t>
      </w:r>
      <w:r w:rsidR="00501C25">
        <w:rPr>
          <w:rFonts w:hint="cs"/>
          <w:sz w:val="28"/>
          <w:szCs w:val="28"/>
          <w:rtl/>
        </w:rPr>
        <w:t xml:space="preserve"> (רגב, שגשוג שהביא לחורבן).</w:t>
      </w:r>
    </w:p>
    <w:p w:rsidR="007762FE" w:rsidRPr="003C070F" w:rsidRDefault="007762FE" w:rsidP="00ED12CF">
      <w:pPr>
        <w:spacing w:line="360" w:lineRule="auto"/>
        <w:ind w:left="26"/>
        <w:rPr>
          <w:sz w:val="28"/>
          <w:szCs w:val="28"/>
        </w:rPr>
      </w:pPr>
    </w:p>
    <w:p w:rsidR="007916EC" w:rsidRDefault="006C0BBA" w:rsidP="00ED12CF">
      <w:pPr>
        <w:spacing w:line="360" w:lineRule="auto"/>
        <w:ind w:left="26"/>
        <w:jc w:val="both"/>
        <w:rPr>
          <w:rFonts w:hint="cs"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ג. </w:t>
      </w:r>
      <w:r w:rsidR="00DD686B" w:rsidRPr="003C070F">
        <w:rPr>
          <w:b/>
          <w:bCs/>
          <w:sz w:val="28"/>
          <w:szCs w:val="28"/>
          <w:rtl/>
        </w:rPr>
        <w:t>דרישות קדם</w:t>
      </w:r>
      <w:r w:rsidRPr="003C070F">
        <w:rPr>
          <w:b/>
          <w:bCs/>
          <w:sz w:val="28"/>
          <w:szCs w:val="28"/>
          <w:rtl/>
        </w:rPr>
        <w:t>:</w:t>
      </w:r>
      <w:r w:rsidR="002935ED" w:rsidRPr="003C070F">
        <w:rPr>
          <w:sz w:val="28"/>
          <w:szCs w:val="28"/>
          <w:rtl/>
        </w:rPr>
        <w:t xml:space="preserve"> </w:t>
      </w:r>
    </w:p>
    <w:p w:rsidR="00D14FE3" w:rsidRPr="003C070F" w:rsidRDefault="00D14FE3" w:rsidP="00ED12CF">
      <w:pPr>
        <w:spacing w:line="360" w:lineRule="auto"/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מבוא לתקופת בית שני</w:t>
      </w:r>
    </w:p>
    <w:p w:rsidR="006C0BBA" w:rsidRPr="003C070F" w:rsidRDefault="006C0BBA" w:rsidP="00ED12CF">
      <w:pPr>
        <w:spacing w:line="360" w:lineRule="auto"/>
        <w:ind w:left="26"/>
        <w:jc w:val="both"/>
        <w:rPr>
          <w:sz w:val="28"/>
          <w:szCs w:val="28"/>
        </w:rPr>
      </w:pPr>
    </w:p>
    <w:p w:rsidR="002262E8" w:rsidRPr="003C070F" w:rsidRDefault="004D0B76" w:rsidP="00ED12CF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ד. </w:t>
      </w:r>
      <w:r w:rsidR="00DD686B" w:rsidRPr="003C070F">
        <w:rPr>
          <w:b/>
          <w:bCs/>
          <w:sz w:val="28"/>
          <w:szCs w:val="28"/>
          <w:rtl/>
        </w:rPr>
        <w:t>חובות / דרישות / מטלות:</w:t>
      </w:r>
    </w:p>
    <w:p w:rsidR="00D14FE3" w:rsidRDefault="00D14FE3" w:rsidP="00ED12CF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נוכחות חובה בשיעורים</w:t>
      </w:r>
    </w:p>
    <w:p w:rsidR="00D14FE3" w:rsidRDefault="00D14FE3" w:rsidP="00ED12CF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מטלות באתר הקורס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תלוי במספר התלמידים</w:t>
      </w:r>
    </w:p>
    <w:p w:rsidR="00D14FE3" w:rsidRDefault="00D14FE3" w:rsidP="00ED12CF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מבחן מסכם</w:t>
      </w:r>
    </w:p>
    <w:p w:rsidR="00D14FE3" w:rsidRDefault="00D14FE3" w:rsidP="00ED12CF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2262E8" w:rsidRPr="003C070F" w:rsidRDefault="002262E8" w:rsidP="00ED12CF">
      <w:pPr>
        <w:spacing w:line="360" w:lineRule="auto"/>
        <w:jc w:val="both"/>
        <w:rPr>
          <w:sz w:val="28"/>
          <w:szCs w:val="28"/>
          <w:rtl/>
        </w:rPr>
      </w:pPr>
    </w:p>
    <w:p w:rsidR="007762FE" w:rsidRDefault="002262E8" w:rsidP="00ED12CF">
      <w:pPr>
        <w:spacing w:line="360" w:lineRule="auto"/>
        <w:jc w:val="both"/>
        <w:rPr>
          <w:rFonts w:hint="cs"/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ה. </w:t>
      </w:r>
      <w:r w:rsidR="00DD686B" w:rsidRPr="003C070F">
        <w:rPr>
          <w:b/>
          <w:bCs/>
          <w:sz w:val="28"/>
          <w:szCs w:val="28"/>
          <w:rtl/>
        </w:rPr>
        <w:t>מרכיבי הציון הסופי</w:t>
      </w:r>
      <w:r w:rsidRPr="003C070F">
        <w:rPr>
          <w:b/>
          <w:bCs/>
          <w:sz w:val="28"/>
          <w:szCs w:val="28"/>
          <w:rtl/>
        </w:rPr>
        <w:t>:</w:t>
      </w:r>
    </w:p>
    <w:p w:rsidR="00916227" w:rsidRDefault="000461A1" w:rsidP="00ED12CF">
      <w:pPr>
        <w:spacing w:line="360" w:lineRule="auto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נוכחות 1%</w:t>
      </w:r>
    </w:p>
    <w:p w:rsidR="0064775D" w:rsidRDefault="00916227" w:rsidP="000461A1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מבחן </w:t>
      </w:r>
      <w:r w:rsidR="000461A1">
        <w:rPr>
          <w:rFonts w:hint="cs"/>
          <w:b/>
          <w:bCs/>
          <w:sz w:val="28"/>
          <w:szCs w:val="28"/>
          <w:rtl/>
        </w:rPr>
        <w:t>מסכם  99%</w:t>
      </w:r>
    </w:p>
    <w:p w:rsidR="000461A1" w:rsidRPr="003C070F" w:rsidRDefault="000461A1" w:rsidP="000461A1">
      <w:pPr>
        <w:spacing w:line="360" w:lineRule="auto"/>
        <w:jc w:val="both"/>
        <w:rPr>
          <w:sz w:val="28"/>
          <w:szCs w:val="28"/>
          <w:rtl/>
        </w:rPr>
      </w:pPr>
    </w:p>
    <w:p w:rsidR="007762FE" w:rsidRPr="003C070F" w:rsidRDefault="007762FE" w:rsidP="00ED12CF">
      <w:pPr>
        <w:spacing w:line="360" w:lineRule="auto"/>
        <w:ind w:left="26"/>
        <w:rPr>
          <w:b/>
          <w:bCs/>
          <w:color w:val="000000"/>
          <w:sz w:val="28"/>
          <w:szCs w:val="28"/>
        </w:rPr>
      </w:pPr>
      <w:r w:rsidRPr="003C070F">
        <w:rPr>
          <w:b/>
          <w:bCs/>
          <w:sz w:val="28"/>
          <w:szCs w:val="28"/>
          <w:rtl/>
        </w:rPr>
        <w:t>ו</w:t>
      </w:r>
      <w:r w:rsidR="00DD686B" w:rsidRPr="003C070F">
        <w:rPr>
          <w:b/>
          <w:bCs/>
          <w:sz w:val="28"/>
          <w:szCs w:val="28"/>
          <w:rtl/>
        </w:rPr>
        <w:t>. ביבליוגרפיה</w:t>
      </w:r>
      <w:r w:rsidR="00DD686B" w:rsidRPr="003C070F">
        <w:rPr>
          <w:b/>
          <w:bCs/>
          <w:color w:val="000000"/>
          <w:sz w:val="28"/>
          <w:szCs w:val="28"/>
          <w:rtl/>
        </w:rPr>
        <w:t>:</w:t>
      </w:r>
    </w:p>
    <w:p w:rsidR="007E745C" w:rsidRPr="00106F7B" w:rsidRDefault="00BD1D90" w:rsidP="00926520">
      <w:pPr>
        <w:spacing w:line="360" w:lineRule="auto"/>
        <w:jc w:val="both"/>
        <w:rPr>
          <w:color w:val="000000"/>
          <w:rtl/>
        </w:rPr>
      </w:pPr>
      <w:r w:rsidRPr="00106F7B">
        <w:rPr>
          <w:color w:val="000000"/>
          <w:rtl/>
        </w:rPr>
        <w:t xml:space="preserve">אשל ח', </w:t>
      </w:r>
      <w:r w:rsidRPr="00106F7B">
        <w:rPr>
          <w:color w:val="000000"/>
          <w:shd w:val="clear" w:color="auto" w:fill="FFFFFF"/>
        </w:rPr>
        <w:t>  </w:t>
      </w:r>
      <w:r w:rsidRPr="00106F7B">
        <w:rPr>
          <w:color w:val="000000"/>
          <w:bdr w:val="none" w:sz="0" w:space="0" w:color="auto" w:frame="1"/>
          <w:shd w:val="clear" w:color="auto" w:fill="FFFFFF"/>
          <w:rtl/>
        </w:rPr>
        <w:t xml:space="preserve">'התפשטותה של האמונה בקדושתו של הר גריזים', בתוך: </w:t>
      </w:r>
      <w:r w:rsidRPr="00106F7B">
        <w:rPr>
          <w:color w:val="000000"/>
          <w:shd w:val="clear" w:color="auto" w:fill="FFFFFF"/>
          <w:rtl/>
        </w:rPr>
        <w:t>ח' אשל וא' שטרן (עורכים), ספר השומרונים (תשס"ב), עמ' 192-209</w:t>
      </w:r>
      <w:r w:rsidRPr="00106F7B">
        <w:rPr>
          <w:color w:val="000000"/>
          <w:shd w:val="clear" w:color="auto" w:fill="FFFFFF"/>
        </w:rPr>
        <w:t xml:space="preserve"> </w:t>
      </w:r>
      <w:r w:rsidRPr="00106F7B">
        <w:rPr>
          <w:color w:val="000000"/>
          <w:shd w:val="clear" w:color="auto" w:fill="FFFFFF"/>
        </w:rPr>
        <w:t>‬</w:t>
      </w:r>
    </w:p>
    <w:p w:rsidR="007E745C" w:rsidRPr="00106F7B" w:rsidRDefault="007E745C" w:rsidP="00926520">
      <w:pPr>
        <w:spacing w:line="360" w:lineRule="auto"/>
        <w:jc w:val="both"/>
        <w:rPr>
          <w:color w:val="000000"/>
          <w:rtl/>
        </w:rPr>
      </w:pPr>
      <w:r w:rsidRPr="00106F7B">
        <w:rPr>
          <w:color w:val="000000"/>
          <w:rtl/>
        </w:rPr>
        <w:t>באומגרטן א'</w:t>
      </w:r>
      <w:r w:rsidRPr="00106F7B">
        <w:rPr>
          <w:b/>
          <w:bCs/>
          <w:color w:val="000000"/>
          <w:rtl/>
        </w:rPr>
        <w:t>, הכיתתיות בימי הבית השני</w:t>
      </w:r>
      <w:r w:rsidRPr="00106F7B">
        <w:rPr>
          <w:color w:val="000000"/>
          <w:rtl/>
        </w:rPr>
        <w:t>, האוניברסיטה המשודרת, ירושלים תשס"ב, עמ' 10-102.</w:t>
      </w:r>
    </w:p>
    <w:p w:rsidR="00917ABA" w:rsidRPr="00106F7B" w:rsidRDefault="00917ABA" w:rsidP="00926520">
      <w:pPr>
        <w:spacing w:line="360" w:lineRule="auto"/>
        <w:jc w:val="both"/>
        <w:rPr>
          <w:color w:val="000000"/>
          <w:rtl/>
        </w:rPr>
      </w:pPr>
    </w:p>
    <w:p w:rsidR="00B74925" w:rsidRPr="00106F7B" w:rsidRDefault="00B74925" w:rsidP="00926520">
      <w:pPr>
        <w:spacing w:line="360" w:lineRule="auto"/>
        <w:jc w:val="both"/>
        <w:rPr>
          <w:color w:val="000000"/>
          <w:rtl/>
        </w:rPr>
      </w:pPr>
      <w:r w:rsidRPr="00106F7B">
        <w:rPr>
          <w:color w:val="000000"/>
          <w:rtl/>
        </w:rPr>
        <w:t>בן תור א', בחזרה למצדה, ירושלים תשס"ט.</w:t>
      </w:r>
    </w:p>
    <w:p w:rsidR="00BD1D90" w:rsidRPr="00106F7B" w:rsidRDefault="00BD1D90" w:rsidP="00926520">
      <w:pPr>
        <w:spacing w:line="360" w:lineRule="auto"/>
        <w:jc w:val="both"/>
        <w:rPr>
          <w:color w:val="000000"/>
          <w:rtl/>
        </w:rPr>
      </w:pPr>
      <w:r w:rsidRPr="00106F7B">
        <w:rPr>
          <w:color w:val="000000"/>
          <w:rtl/>
        </w:rPr>
        <w:t>בר-כוכבא,</w:t>
      </w:r>
      <w:r w:rsidR="00917ABA" w:rsidRPr="00106F7B">
        <w:rPr>
          <w:color w:val="000000"/>
          <w:rtl/>
        </w:rPr>
        <w:t xml:space="preserve"> ב',</w:t>
      </w:r>
      <w:r w:rsidRPr="00106F7B">
        <w:rPr>
          <w:color w:val="000000"/>
          <w:rtl/>
        </w:rPr>
        <w:t xml:space="preserve"> 'האיסיים היו גם היו', תרביץ </w:t>
      </w:r>
      <w:r w:rsidR="00917ABA" w:rsidRPr="00106F7B">
        <w:rPr>
          <w:color w:val="000000"/>
          <w:rtl/>
        </w:rPr>
        <w:t>רך פ, חוברת ב (</w:t>
      </w:r>
      <w:r w:rsidRPr="00106F7B">
        <w:rPr>
          <w:color w:val="000000"/>
          <w:rtl/>
        </w:rPr>
        <w:t>תשע"ב</w:t>
      </w:r>
      <w:r w:rsidR="00917ABA" w:rsidRPr="00106F7B">
        <w:rPr>
          <w:color w:val="000000"/>
          <w:rtl/>
        </w:rPr>
        <w:t>)</w:t>
      </w:r>
      <w:r w:rsidRPr="00106F7B">
        <w:rPr>
          <w:color w:val="000000"/>
          <w:rtl/>
        </w:rPr>
        <w:t>, עמ' 275–3</w:t>
      </w:r>
      <w:r w:rsidR="001A4035" w:rsidRPr="00106F7B">
        <w:rPr>
          <w:color w:val="000000"/>
          <w:rtl/>
        </w:rPr>
        <w:t>0</w:t>
      </w:r>
      <w:r w:rsidRPr="00106F7B">
        <w:rPr>
          <w:color w:val="000000"/>
          <w:rtl/>
        </w:rPr>
        <w:t>0</w:t>
      </w:r>
      <w:r w:rsidR="001A4035" w:rsidRPr="00106F7B">
        <w:rPr>
          <w:color w:val="000000"/>
          <w:rtl/>
        </w:rPr>
        <w:t>.</w:t>
      </w:r>
    </w:p>
    <w:p w:rsidR="001A4035" w:rsidRPr="00106F7B" w:rsidRDefault="001A4035" w:rsidP="00926520">
      <w:pPr>
        <w:spacing w:line="360" w:lineRule="auto"/>
        <w:jc w:val="both"/>
        <w:rPr>
          <w:color w:val="000000"/>
          <w:rtl/>
        </w:rPr>
      </w:pPr>
    </w:p>
    <w:p w:rsidR="001A4035" w:rsidRPr="00106F7B" w:rsidRDefault="001A4035" w:rsidP="00926520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ירדני ע' ואליצור ב', ‏</w:t>
      </w:r>
      <w:hyperlink r:id="rId7" w:history="1">
        <w:r w:rsidRPr="00106F7B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'</w:t>
        </w:r>
        <w:r w:rsidRPr="00106F7B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rtl/>
          </w:rPr>
          <w:t>טקסט נבואי על אבן מן המאה הראשונה לפסה"נ</w:t>
        </w:r>
        <w:r w:rsidRPr="00106F7B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'</w:t>
        </w:r>
      </w:hyperlink>
      <w:r w:rsidRPr="0010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06F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ooltip="קתדרה (כתב עת)" w:history="1">
        <w:r w:rsidRPr="00106F7B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rtl/>
          </w:rPr>
          <w:t>קתדרה</w:t>
        </w:r>
      </w:hyperlink>
      <w:r w:rsidRPr="00106F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123, </w:t>
      </w:r>
      <w:r w:rsidRPr="0010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(2007), עמ' 166-155</w:t>
      </w:r>
      <w:r w:rsidRPr="00106F7B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</w:p>
    <w:p w:rsidR="00B74925" w:rsidRPr="00106F7B" w:rsidRDefault="00B74925" w:rsidP="00926520">
      <w:pPr>
        <w:pStyle w:val="a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</w:rPr>
      </w:pPr>
      <w:r w:rsidRPr="00106F7B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מגן, </w:t>
      </w:r>
      <w:r w:rsidRPr="00106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</w:rPr>
        <w:t>י,' ,</w:t>
      </w:r>
      <w:r w:rsidRPr="00106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rtl/>
        </w:rPr>
        <w:t>הר גריזים</w:t>
      </w:r>
      <w:r w:rsidRPr="00106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 </w:t>
      </w:r>
      <w:r w:rsidRPr="00106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rtl/>
        </w:rPr>
        <w:t>עיר מקדש</w:t>
      </w:r>
      <w:r w:rsidRPr="00106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06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סיכום שמונה עשר שנות חפירה', קדמוניות 120 (תשס"א) עמ' 118-74. </w:t>
      </w:r>
    </w:p>
    <w:p w:rsidR="001A4035" w:rsidRPr="00106F7B" w:rsidRDefault="001A4035" w:rsidP="00926520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106F7B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קנוהל, י', </w:t>
      </w:r>
      <w:r w:rsidRPr="0010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עיונים בחזון גבריאל</w:t>
      </w:r>
      <w:r w:rsidRPr="0010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</w:t>
      </w:r>
      <w:r w:rsidRPr="00106F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ooltip="תרביץ" w:history="1">
        <w:r w:rsidRPr="00106F7B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rtl/>
          </w:rPr>
          <w:t>תרביץ</w:t>
        </w:r>
      </w:hyperlink>
      <w:r w:rsidRPr="00106F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עו, חוברת ג'-ד', תשס"ז, 2007, עמ' 328-303</w:t>
      </w:r>
    </w:p>
    <w:p w:rsidR="007E745C" w:rsidRPr="00106F7B" w:rsidRDefault="00465F5E" w:rsidP="00926520">
      <w:pPr>
        <w:spacing w:line="360" w:lineRule="auto"/>
        <w:jc w:val="both"/>
        <w:rPr>
          <w:color w:val="000000"/>
          <w:rtl/>
        </w:rPr>
      </w:pPr>
      <w:r w:rsidRPr="00106F7B">
        <w:rPr>
          <w:color w:val="000000"/>
          <w:rtl/>
        </w:rPr>
        <w:t>רגב, א', הצדוקים והלכתם: על דת וחברה בימי בית שני, ירושלים יד בן צבי,  תשנ"ט.</w:t>
      </w:r>
    </w:p>
    <w:p w:rsidR="007E745C" w:rsidRPr="00106F7B" w:rsidRDefault="007E745C" w:rsidP="00926520">
      <w:pPr>
        <w:spacing w:line="360" w:lineRule="auto"/>
        <w:jc w:val="both"/>
        <w:rPr>
          <w:noProof/>
          <w:color w:val="000000"/>
          <w:rtl/>
        </w:rPr>
      </w:pPr>
      <w:r w:rsidRPr="00106F7B">
        <w:rPr>
          <w:noProof/>
          <w:color w:val="000000"/>
          <w:rtl/>
        </w:rPr>
        <w:t xml:space="preserve">רגב א,' 'טומאת המקדש ו'יחסי החוץ' של כת קומראן בראשית התקופה החשמונאית', </w:t>
      </w:r>
      <w:r w:rsidRPr="00106F7B">
        <w:rPr>
          <w:b/>
          <w:bCs/>
          <w:noProof/>
          <w:color w:val="000000"/>
          <w:rtl/>
        </w:rPr>
        <w:t>ציון</w:t>
      </w:r>
      <w:r w:rsidRPr="00106F7B">
        <w:rPr>
          <w:noProof/>
          <w:color w:val="000000"/>
          <w:rtl/>
        </w:rPr>
        <w:t xml:space="preserve"> סד, ב (תשנ"ט), עמ' 156-133.</w:t>
      </w:r>
    </w:p>
    <w:p w:rsidR="007E745C" w:rsidRPr="00106F7B" w:rsidRDefault="007E745C" w:rsidP="00926520">
      <w:pPr>
        <w:spacing w:line="360" w:lineRule="auto"/>
        <w:jc w:val="both"/>
        <w:rPr>
          <w:noProof/>
          <w:color w:val="000000"/>
          <w:rtl/>
        </w:rPr>
      </w:pPr>
      <w:r w:rsidRPr="00106F7B">
        <w:rPr>
          <w:noProof/>
          <w:color w:val="000000"/>
          <w:rtl/>
        </w:rPr>
        <w:lastRenderedPageBreak/>
        <w:t xml:space="preserve">רגב א', 'על הבדלי התפיסות בין ההלכה הקומראנית והלכות חז"ל: קדושה דינאמית מול קדושה סטטית', </w:t>
      </w:r>
      <w:r w:rsidRPr="00106F7B">
        <w:rPr>
          <w:b/>
          <w:bCs/>
          <w:noProof/>
          <w:color w:val="000000"/>
          <w:rtl/>
        </w:rPr>
        <w:t>תרביץ</w:t>
      </w:r>
      <w:r w:rsidRPr="00106F7B">
        <w:rPr>
          <w:i/>
          <w:iCs/>
          <w:noProof/>
          <w:color w:val="000000"/>
          <w:rtl/>
        </w:rPr>
        <w:t xml:space="preserve"> </w:t>
      </w:r>
      <w:r w:rsidRPr="00106F7B">
        <w:rPr>
          <w:noProof/>
          <w:color w:val="000000"/>
          <w:rtl/>
        </w:rPr>
        <w:t>עב, חוב' א-ב (תשס"ג), עמ' 132-113.</w:t>
      </w:r>
    </w:p>
    <w:p w:rsidR="00D36903" w:rsidRPr="00106F7B" w:rsidRDefault="003F6317" w:rsidP="00926520">
      <w:pPr>
        <w:pStyle w:val="IRIS"/>
        <w:spacing w:after="120" w:line="360" w:lineRule="auto"/>
        <w:ind w:hanging="793"/>
        <w:textAlignment w:val="auto"/>
        <w:rPr>
          <w:rFonts w:cs="Times New Roman"/>
          <w:color w:val="000000"/>
          <w:rtl/>
        </w:rPr>
      </w:pPr>
      <w:r w:rsidRPr="00106F7B">
        <w:rPr>
          <w:rFonts w:cs="Times New Roman"/>
          <w:color w:val="000000"/>
          <w:rtl/>
        </w:rPr>
        <w:t xml:space="preserve">רגב, א', </w:t>
      </w:r>
      <w:r w:rsidR="00D36903" w:rsidRPr="00106F7B">
        <w:rPr>
          <w:rFonts w:cs="Times New Roman"/>
          <w:color w:val="000000"/>
          <w:rtl/>
        </w:rPr>
        <w:t xml:space="preserve">'שגשוג שהביא לחורבן: החברה היהודית בירושלים ערב המרד הגדול', </w:t>
      </w:r>
      <w:r w:rsidR="00D36903" w:rsidRPr="00106F7B">
        <w:rPr>
          <w:rFonts w:cs="Times New Roman"/>
          <w:i/>
          <w:iCs/>
          <w:color w:val="000000"/>
          <w:rtl/>
        </w:rPr>
        <w:t>חידושים בחקר ירושלים</w:t>
      </w:r>
      <w:r w:rsidR="00D36903" w:rsidRPr="00106F7B">
        <w:rPr>
          <w:rFonts w:cs="Times New Roman"/>
          <w:color w:val="000000"/>
          <w:rtl/>
        </w:rPr>
        <w:t xml:space="preserve"> יט (תשע"ד), עמ' 179-199.</w:t>
      </w:r>
    </w:p>
    <w:p w:rsidR="00926520" w:rsidRPr="00106F7B" w:rsidRDefault="00926520" w:rsidP="00926520">
      <w:pPr>
        <w:pStyle w:val="IRIS"/>
        <w:spacing w:after="120" w:line="360" w:lineRule="auto"/>
        <w:ind w:hanging="793"/>
        <w:textAlignment w:val="auto"/>
        <w:rPr>
          <w:rFonts w:cs="Times New Roman"/>
          <w:color w:val="000000"/>
          <w:rtl/>
        </w:rPr>
      </w:pPr>
      <w:r w:rsidRPr="00106F7B">
        <w:rPr>
          <w:rFonts w:cs="Times New Roman"/>
          <w:color w:val="000000"/>
          <w:rtl/>
        </w:rPr>
        <w:t xml:space="preserve">רגב א', 'כמה כתות  מנתה עדת קומראן? על ההבדלים בין היחד, ברית דמשק, האיסיים וחורבת קומראן', </w:t>
      </w:r>
      <w:r w:rsidRPr="00106F7B">
        <w:rPr>
          <w:rFonts w:cs="Times New Roman"/>
          <w:i/>
          <w:iCs/>
          <w:color w:val="000000"/>
          <w:rtl/>
        </w:rPr>
        <w:t>קתדרה</w:t>
      </w:r>
      <w:r w:rsidRPr="00106F7B">
        <w:rPr>
          <w:rFonts w:cs="Times New Roman"/>
          <w:color w:val="000000"/>
          <w:rtl/>
        </w:rPr>
        <w:t xml:space="preserve"> 148 (תשע"ג), עמ' 7-40.</w:t>
      </w:r>
    </w:p>
    <w:p w:rsidR="003F6317" w:rsidRPr="00106F7B" w:rsidRDefault="003F6317" w:rsidP="00926520">
      <w:pPr>
        <w:spacing w:line="360" w:lineRule="auto"/>
        <w:jc w:val="both"/>
        <w:rPr>
          <w:noProof/>
          <w:color w:val="000000"/>
          <w:rtl/>
        </w:rPr>
      </w:pPr>
      <w:r w:rsidRPr="00106F7B">
        <w:rPr>
          <w:color w:val="000000"/>
          <w:shd w:val="clear" w:color="auto" w:fill="FFFFFF"/>
          <w:rtl/>
        </w:rPr>
        <w:t>שטרן</w:t>
      </w:r>
      <w:r w:rsidRPr="00106F7B">
        <w:rPr>
          <w:color w:val="000000"/>
          <w:shd w:val="clear" w:color="auto" w:fill="FFFFFF"/>
        </w:rPr>
        <w:t>,'</w:t>
      </w:r>
      <w:r w:rsidRPr="00106F7B">
        <w:rPr>
          <w:color w:val="000000"/>
          <w:shd w:val="clear" w:color="auto" w:fill="FFFFFF"/>
          <w:rtl/>
        </w:rPr>
        <w:t xml:space="preserve"> מ' </w:t>
      </w:r>
      <w:r w:rsidRPr="00106F7B">
        <w:rPr>
          <w:b/>
          <w:bCs/>
          <w:color w:val="000000"/>
          <w:shd w:val="clear" w:color="auto" w:fill="FFFFFF"/>
          <w:rtl/>
        </w:rPr>
        <w:t>'הקנאים',</w:t>
      </w:r>
      <w:r w:rsidRPr="00106F7B">
        <w:rPr>
          <w:color w:val="000000"/>
          <w:shd w:val="clear" w:color="auto" w:fill="FFFFFF"/>
        </w:rPr>
        <w:t xml:space="preserve"> </w:t>
      </w:r>
      <w:r w:rsidRPr="00106F7B">
        <w:rPr>
          <w:color w:val="000000"/>
          <w:shd w:val="clear" w:color="auto" w:fill="FFFFFF"/>
          <w:rtl/>
        </w:rPr>
        <w:t>בתוך: הנ"ל</w:t>
      </w:r>
      <w:r w:rsidRPr="00106F7B">
        <w:rPr>
          <w:color w:val="000000"/>
          <w:shd w:val="clear" w:color="auto" w:fill="FFFFFF"/>
        </w:rPr>
        <w:t>, </w:t>
      </w:r>
      <w:r w:rsidRPr="00106F7B">
        <w:rPr>
          <w:b/>
          <w:bCs/>
          <w:color w:val="000000"/>
          <w:shd w:val="clear" w:color="auto" w:fill="FFFFFF"/>
          <w:rtl/>
        </w:rPr>
        <w:t>מחקרים בתולדות</w:t>
      </w:r>
      <w:r w:rsidRPr="00106F7B">
        <w:rPr>
          <w:color w:val="000000"/>
          <w:shd w:val="clear" w:color="auto" w:fill="FFFFFF"/>
        </w:rPr>
        <w:t> </w:t>
      </w:r>
      <w:r w:rsidRPr="00106F7B">
        <w:rPr>
          <w:color w:val="000000"/>
          <w:shd w:val="clear" w:color="auto" w:fill="FFFFFF"/>
          <w:rtl/>
        </w:rPr>
        <w:t>ישראל בימי הבית השני, ירושלים תשנ</w:t>
      </w:r>
      <w:r w:rsidRPr="00106F7B">
        <w:rPr>
          <w:color w:val="000000"/>
          <w:shd w:val="clear" w:color="auto" w:fill="FFFFFF"/>
        </w:rPr>
        <w:t>"</w:t>
      </w:r>
      <w:r w:rsidRPr="00106F7B">
        <w:rPr>
          <w:color w:val="000000"/>
          <w:shd w:val="clear" w:color="auto" w:fill="FFFFFF"/>
          <w:rtl/>
        </w:rPr>
        <w:t>א, עמ' 299-277</w:t>
      </w:r>
      <w:r w:rsidRPr="00106F7B">
        <w:rPr>
          <w:color w:val="000000"/>
          <w:shd w:val="clear" w:color="auto" w:fill="FFFFFF"/>
        </w:rPr>
        <w:t> </w:t>
      </w:r>
      <w:r w:rsidRPr="00106F7B">
        <w:rPr>
          <w:noProof/>
          <w:color w:val="000000"/>
          <w:rtl/>
        </w:rPr>
        <w:t>.</w:t>
      </w:r>
    </w:p>
    <w:p w:rsidR="007E745C" w:rsidRPr="00106F7B" w:rsidRDefault="007E745C" w:rsidP="00926520">
      <w:pPr>
        <w:spacing w:line="360" w:lineRule="auto"/>
        <w:jc w:val="both"/>
        <w:rPr>
          <w:color w:val="000000"/>
          <w:rtl/>
        </w:rPr>
      </w:pPr>
      <w:r w:rsidRPr="00106F7B">
        <w:rPr>
          <w:noProof/>
          <w:color w:val="000000"/>
          <w:rtl/>
        </w:rPr>
        <w:t xml:space="preserve">שיפמן י', 'ארגון ומנהיגות בכת מדבר יהודה', בתוך י' גפני (עורך), </w:t>
      </w:r>
      <w:r w:rsidRPr="00106F7B">
        <w:rPr>
          <w:b/>
          <w:bCs/>
          <w:noProof/>
          <w:color w:val="000000"/>
          <w:rtl/>
        </w:rPr>
        <w:t>קהל ישראל: השלטון העצמי היהודי לדורותיו</w:t>
      </w:r>
      <w:r w:rsidRPr="00106F7B">
        <w:rPr>
          <w:noProof/>
          <w:color w:val="000000"/>
          <w:rtl/>
        </w:rPr>
        <w:t xml:space="preserve">. </w:t>
      </w:r>
      <w:r w:rsidRPr="00106F7B">
        <w:rPr>
          <w:b/>
          <w:bCs/>
          <w:noProof/>
          <w:color w:val="000000"/>
          <w:rtl/>
        </w:rPr>
        <w:t>כרך א</w:t>
      </w:r>
      <w:r w:rsidRPr="00106F7B">
        <w:rPr>
          <w:noProof/>
          <w:color w:val="000000"/>
          <w:rtl/>
        </w:rPr>
        <w:t>: העת העתיקה, ירושלים, עמ' 27-56.</w:t>
      </w:r>
    </w:p>
    <w:p w:rsidR="007E745C" w:rsidRPr="00106F7B" w:rsidRDefault="007E745C" w:rsidP="00926520">
      <w:pPr>
        <w:spacing w:line="360" w:lineRule="auto"/>
        <w:jc w:val="both"/>
        <w:rPr>
          <w:noProof/>
          <w:color w:val="000000"/>
          <w:rtl/>
        </w:rPr>
      </w:pPr>
      <w:r w:rsidRPr="00106F7B">
        <w:rPr>
          <w:noProof/>
          <w:color w:val="000000"/>
          <w:rtl/>
        </w:rPr>
        <w:t xml:space="preserve">שיפמן י', </w:t>
      </w:r>
      <w:r w:rsidRPr="00106F7B">
        <w:rPr>
          <w:b/>
          <w:bCs/>
          <w:noProof/>
          <w:color w:val="000000"/>
          <w:rtl/>
        </w:rPr>
        <w:t>הלכה, הליכה ומשיחיות בכת מדבר יהודה</w:t>
      </w:r>
      <w:r w:rsidRPr="00106F7B">
        <w:rPr>
          <w:noProof/>
          <w:color w:val="000000"/>
          <w:rtl/>
        </w:rPr>
        <w:t>,  ירושלים, תשנ"ג.</w:t>
      </w:r>
    </w:p>
    <w:p w:rsidR="007E745C" w:rsidRPr="00106F7B" w:rsidRDefault="007E745C" w:rsidP="00926520">
      <w:pPr>
        <w:spacing w:line="360" w:lineRule="auto"/>
        <w:jc w:val="both"/>
        <w:rPr>
          <w:rFonts w:hint="cs"/>
          <w:color w:val="000000"/>
          <w:rtl/>
        </w:rPr>
      </w:pPr>
    </w:p>
    <w:p w:rsidR="00926520" w:rsidRPr="00926520" w:rsidRDefault="00926520" w:rsidP="00926520">
      <w:pPr>
        <w:bidi w:val="0"/>
        <w:spacing w:line="360" w:lineRule="auto"/>
        <w:jc w:val="both"/>
        <w:rPr>
          <w:noProof/>
          <w:color w:val="000000"/>
        </w:rPr>
      </w:pPr>
      <w:r w:rsidRPr="00926520">
        <w:rPr>
          <w:noProof/>
          <w:color w:val="000000"/>
        </w:rPr>
        <w:t xml:space="preserve">Collins, J.J., The Apocalyptic Imagination: </w:t>
      </w:r>
      <w:r w:rsidRPr="00926520">
        <w:rPr>
          <w:color w:val="000000"/>
          <w:shd w:val="clear" w:color="auto" w:fill="FFFFFF"/>
        </w:rPr>
        <w:t>An Introduction To Jewish Apocalyptic  Literature, 2</w:t>
      </w:r>
      <w:r w:rsidRPr="00926520">
        <w:rPr>
          <w:color w:val="000000"/>
          <w:shd w:val="clear" w:color="auto" w:fill="FFFFFF"/>
          <w:vertAlign w:val="superscript"/>
        </w:rPr>
        <w:t>nd</w:t>
      </w:r>
      <w:r w:rsidRPr="00926520">
        <w:rPr>
          <w:color w:val="000000"/>
          <w:shd w:val="clear" w:color="auto" w:fill="FFFFFF"/>
        </w:rPr>
        <w:t xml:space="preserve"> edition, Grand Rapids 1998.</w:t>
      </w:r>
    </w:p>
    <w:p w:rsidR="00926520" w:rsidRPr="00106F7B" w:rsidRDefault="00926520" w:rsidP="00926520">
      <w:pPr>
        <w:tabs>
          <w:tab w:val="left" w:pos="375"/>
          <w:tab w:val="left" w:pos="2643"/>
          <w:tab w:val="right" w:pos="8029"/>
        </w:tabs>
        <w:bidi w:val="0"/>
        <w:spacing w:line="360" w:lineRule="auto"/>
        <w:jc w:val="both"/>
        <w:rPr>
          <w:color w:val="000000"/>
        </w:rPr>
      </w:pPr>
      <w:r w:rsidRPr="00106F7B">
        <w:rPr>
          <w:color w:val="000000"/>
        </w:rPr>
        <w:t xml:space="preserve">Regev, E., "Were the Early Christians Sectarians," </w:t>
      </w:r>
      <w:r w:rsidRPr="00106F7B">
        <w:rPr>
          <w:i/>
          <w:iCs/>
          <w:color w:val="000000"/>
        </w:rPr>
        <w:t>Journal of Biblical Literature</w:t>
      </w:r>
      <w:r w:rsidRPr="00106F7B">
        <w:rPr>
          <w:color w:val="000000"/>
        </w:rPr>
        <w:t xml:space="preserve"> 130.4</w:t>
      </w:r>
      <w:r w:rsidRPr="00106F7B">
        <w:rPr>
          <w:i/>
          <w:iCs/>
          <w:color w:val="000000"/>
        </w:rPr>
        <w:t xml:space="preserve"> </w:t>
      </w:r>
      <w:r w:rsidRPr="00106F7B">
        <w:rPr>
          <w:color w:val="000000"/>
        </w:rPr>
        <w:t>(2011), pp. 771–793.</w:t>
      </w:r>
    </w:p>
    <w:p w:rsidR="007E745C" w:rsidRPr="00106F7B" w:rsidRDefault="00926520" w:rsidP="00926520">
      <w:pPr>
        <w:bidi w:val="0"/>
        <w:spacing w:line="360" w:lineRule="auto"/>
        <w:jc w:val="both"/>
        <w:outlineLvl w:val="0"/>
        <w:rPr>
          <w:color w:val="000000"/>
        </w:rPr>
      </w:pPr>
      <w:r w:rsidRPr="00106F7B">
        <w:rPr>
          <w:color w:val="000000"/>
        </w:rPr>
        <w:t xml:space="preserve">Regev, E., "Early Christianity in Light of New Religious Movements," </w:t>
      </w:r>
      <w:r w:rsidRPr="00106F7B">
        <w:rPr>
          <w:i/>
          <w:iCs/>
          <w:color w:val="000000"/>
        </w:rPr>
        <w:t>Numen</w:t>
      </w:r>
      <w:r w:rsidRPr="00106F7B">
        <w:rPr>
          <w:color w:val="000000"/>
        </w:rPr>
        <w:t xml:space="preserve"> 63 (2016): 483–510.</w:t>
      </w:r>
    </w:p>
    <w:p w:rsidR="007E745C" w:rsidRPr="00106F7B" w:rsidRDefault="007E745C" w:rsidP="00926520">
      <w:pPr>
        <w:bidi w:val="0"/>
        <w:spacing w:line="360" w:lineRule="auto"/>
        <w:jc w:val="both"/>
        <w:rPr>
          <w:color w:val="000000"/>
        </w:rPr>
      </w:pPr>
      <w:r w:rsidRPr="00106F7B">
        <w:rPr>
          <w:noProof/>
          <w:color w:val="000000"/>
        </w:rPr>
        <w:t xml:space="preserve">Regev, E. </w:t>
      </w:r>
      <w:r w:rsidRPr="00106F7B">
        <w:rPr>
          <w:rStyle w:val="a9"/>
          <w:noProof/>
          <w:color w:val="000000"/>
        </w:rPr>
        <w:t>Sectarianism in Qumran: A-Cross-Cultural Perspective</w:t>
      </w:r>
      <w:r w:rsidRPr="00106F7B">
        <w:rPr>
          <w:noProof/>
          <w:color w:val="000000"/>
        </w:rPr>
        <w:t>, Berlin, de Gruyter 2007.</w:t>
      </w:r>
    </w:p>
    <w:p w:rsidR="00030A9E" w:rsidRPr="00106F7B" w:rsidRDefault="00030A9E" w:rsidP="00926520">
      <w:pPr>
        <w:spacing w:line="360" w:lineRule="auto"/>
        <w:jc w:val="both"/>
        <w:rPr>
          <w:color w:val="000000"/>
          <w:rtl/>
        </w:rPr>
      </w:pPr>
    </w:p>
    <w:p w:rsidR="0064775D" w:rsidRPr="00106F7B" w:rsidRDefault="007762FE" w:rsidP="00926520">
      <w:pPr>
        <w:spacing w:line="360" w:lineRule="auto"/>
        <w:jc w:val="both"/>
        <w:rPr>
          <w:color w:val="000000"/>
          <w:rtl/>
        </w:rPr>
      </w:pPr>
      <w:r w:rsidRPr="00106F7B">
        <w:rPr>
          <w:b/>
          <w:bCs/>
          <w:color w:val="000000"/>
          <w:rtl/>
        </w:rPr>
        <w:t>ז</w:t>
      </w:r>
      <w:r w:rsidR="0064775D" w:rsidRPr="00106F7B">
        <w:rPr>
          <w:b/>
          <w:bCs/>
          <w:color w:val="000000"/>
          <w:rtl/>
        </w:rPr>
        <w:t>.</w:t>
      </w:r>
      <w:r w:rsidR="00D668F8" w:rsidRPr="00106F7B">
        <w:rPr>
          <w:color w:val="000000"/>
          <w:rtl/>
        </w:rPr>
        <w:t xml:space="preserve"> </w:t>
      </w:r>
      <w:r w:rsidR="00D668F8" w:rsidRPr="00106F7B">
        <w:rPr>
          <w:b/>
          <w:bCs/>
          <w:color w:val="000000"/>
          <w:rtl/>
        </w:rPr>
        <w:t>שם הקורס באנגלית</w:t>
      </w:r>
      <w:r w:rsidR="0064775D" w:rsidRPr="00106F7B">
        <w:rPr>
          <w:color w:val="000000"/>
          <w:rtl/>
        </w:rPr>
        <w:t>:</w:t>
      </w:r>
    </w:p>
    <w:p w:rsidR="001B302D" w:rsidRPr="003C070F" w:rsidRDefault="00916227" w:rsidP="00926520">
      <w:pPr>
        <w:bidi w:val="0"/>
        <w:spacing w:line="360" w:lineRule="auto"/>
        <w:jc w:val="both"/>
        <w:rPr>
          <w:sz w:val="28"/>
          <w:szCs w:val="28"/>
        </w:rPr>
      </w:pPr>
      <w:r w:rsidRPr="00106F7B">
        <w:rPr>
          <w:color w:val="000000"/>
        </w:rPr>
        <w:t>Sects and Groups in the Land of Israel during the Second Temp</w:t>
      </w:r>
      <w:r>
        <w:rPr>
          <w:sz w:val="28"/>
          <w:szCs w:val="28"/>
        </w:rPr>
        <w:t>le Period</w:t>
      </w:r>
    </w:p>
    <w:sectPr w:rsidR="001B302D" w:rsidRPr="003C070F" w:rsidSect="00DD686B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D3" w:rsidRDefault="007B42D3">
      <w:r>
        <w:separator/>
      </w:r>
    </w:p>
  </w:endnote>
  <w:endnote w:type="continuationSeparator" w:id="0">
    <w:p w:rsidR="007B42D3" w:rsidRDefault="007B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A" w:rsidRDefault="009263FA" w:rsidP="00DD686B">
    <w:pPr>
      <w:pStyle w:val="a7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055A7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D3" w:rsidRDefault="007B42D3">
      <w:r>
        <w:separator/>
      </w:r>
    </w:p>
  </w:footnote>
  <w:footnote w:type="continuationSeparator" w:id="0">
    <w:p w:rsidR="007B42D3" w:rsidRDefault="007B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A" w:rsidRDefault="009263FA" w:rsidP="00DD686B">
    <w:pPr>
      <w:pStyle w:val="a4"/>
      <w:jc w:val="center"/>
      <w:rPr>
        <w:color w:val="333333"/>
        <w:rtl/>
      </w:rPr>
    </w:pPr>
  </w:p>
  <w:p w:rsidR="009263FA" w:rsidRPr="006F3984" w:rsidRDefault="009263FA" w:rsidP="00DD68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41622"/>
    <w:multiLevelType w:val="hybridMultilevel"/>
    <w:tmpl w:val="27124940"/>
    <w:lvl w:ilvl="0" w:tplc="8490ED38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1">
    <w:nsid w:val="75BC6DB4"/>
    <w:multiLevelType w:val="hybridMultilevel"/>
    <w:tmpl w:val="EE420B2E"/>
    <w:lvl w:ilvl="0" w:tplc="5C1AE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77EA1AE1"/>
    <w:multiLevelType w:val="hybridMultilevel"/>
    <w:tmpl w:val="F214AA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223D7"/>
    <w:rsid w:val="00027881"/>
    <w:rsid w:val="00030A9E"/>
    <w:rsid w:val="000461A1"/>
    <w:rsid w:val="0006487D"/>
    <w:rsid w:val="00070A82"/>
    <w:rsid w:val="00076E1F"/>
    <w:rsid w:val="00082CAD"/>
    <w:rsid w:val="00093FC6"/>
    <w:rsid w:val="0009518B"/>
    <w:rsid w:val="000B26B8"/>
    <w:rsid w:val="000B2F90"/>
    <w:rsid w:val="000C6A16"/>
    <w:rsid w:val="00106F7B"/>
    <w:rsid w:val="00122715"/>
    <w:rsid w:val="00123F73"/>
    <w:rsid w:val="0013173F"/>
    <w:rsid w:val="00146DE4"/>
    <w:rsid w:val="00181271"/>
    <w:rsid w:val="00182802"/>
    <w:rsid w:val="001878DC"/>
    <w:rsid w:val="001939F8"/>
    <w:rsid w:val="001A4035"/>
    <w:rsid w:val="001A5844"/>
    <w:rsid w:val="001B302D"/>
    <w:rsid w:val="001B41ED"/>
    <w:rsid w:val="001D7453"/>
    <w:rsid w:val="001D7E9E"/>
    <w:rsid w:val="001E009A"/>
    <w:rsid w:val="001E1DB6"/>
    <w:rsid w:val="001F742D"/>
    <w:rsid w:val="00205067"/>
    <w:rsid w:val="002262E8"/>
    <w:rsid w:val="002307CC"/>
    <w:rsid w:val="002337B3"/>
    <w:rsid w:val="00271BBC"/>
    <w:rsid w:val="002734D8"/>
    <w:rsid w:val="002935ED"/>
    <w:rsid w:val="002A1569"/>
    <w:rsid w:val="002A3074"/>
    <w:rsid w:val="002C2943"/>
    <w:rsid w:val="002E026B"/>
    <w:rsid w:val="002E1F74"/>
    <w:rsid w:val="002F6D62"/>
    <w:rsid w:val="00305692"/>
    <w:rsid w:val="00322AE9"/>
    <w:rsid w:val="00323F70"/>
    <w:rsid w:val="003269AC"/>
    <w:rsid w:val="00346DFC"/>
    <w:rsid w:val="00347951"/>
    <w:rsid w:val="00352BD1"/>
    <w:rsid w:val="00354D18"/>
    <w:rsid w:val="00367708"/>
    <w:rsid w:val="00382BCD"/>
    <w:rsid w:val="00390F95"/>
    <w:rsid w:val="003A2F0F"/>
    <w:rsid w:val="003A40A8"/>
    <w:rsid w:val="003C070F"/>
    <w:rsid w:val="003E6FC5"/>
    <w:rsid w:val="003F6317"/>
    <w:rsid w:val="0040229E"/>
    <w:rsid w:val="00410117"/>
    <w:rsid w:val="00421576"/>
    <w:rsid w:val="00422580"/>
    <w:rsid w:val="00425A06"/>
    <w:rsid w:val="00427ED2"/>
    <w:rsid w:val="00431BE8"/>
    <w:rsid w:val="004373A7"/>
    <w:rsid w:val="004539F5"/>
    <w:rsid w:val="00465F5E"/>
    <w:rsid w:val="004749B0"/>
    <w:rsid w:val="00476975"/>
    <w:rsid w:val="004953A0"/>
    <w:rsid w:val="004A0F46"/>
    <w:rsid w:val="004A107D"/>
    <w:rsid w:val="004A2742"/>
    <w:rsid w:val="004C266A"/>
    <w:rsid w:val="004C5515"/>
    <w:rsid w:val="004D0B76"/>
    <w:rsid w:val="004D6C5E"/>
    <w:rsid w:val="004E46A0"/>
    <w:rsid w:val="004F37BA"/>
    <w:rsid w:val="00501C25"/>
    <w:rsid w:val="00505345"/>
    <w:rsid w:val="00520A14"/>
    <w:rsid w:val="005227FC"/>
    <w:rsid w:val="00536471"/>
    <w:rsid w:val="00542B3D"/>
    <w:rsid w:val="005531F5"/>
    <w:rsid w:val="005569F1"/>
    <w:rsid w:val="00561AC5"/>
    <w:rsid w:val="0056603E"/>
    <w:rsid w:val="005750D4"/>
    <w:rsid w:val="00587EEB"/>
    <w:rsid w:val="00590E92"/>
    <w:rsid w:val="005A7AFC"/>
    <w:rsid w:val="005B0C90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775D"/>
    <w:rsid w:val="00653DDF"/>
    <w:rsid w:val="00657033"/>
    <w:rsid w:val="00666C81"/>
    <w:rsid w:val="00670D04"/>
    <w:rsid w:val="006741E1"/>
    <w:rsid w:val="00681E2B"/>
    <w:rsid w:val="0069345E"/>
    <w:rsid w:val="006C0BBA"/>
    <w:rsid w:val="006F3984"/>
    <w:rsid w:val="00700320"/>
    <w:rsid w:val="0070271F"/>
    <w:rsid w:val="00702C82"/>
    <w:rsid w:val="00703DBD"/>
    <w:rsid w:val="00717B12"/>
    <w:rsid w:val="00720048"/>
    <w:rsid w:val="00721EC7"/>
    <w:rsid w:val="00722A06"/>
    <w:rsid w:val="007242E6"/>
    <w:rsid w:val="00730EC2"/>
    <w:rsid w:val="007313DA"/>
    <w:rsid w:val="007704EE"/>
    <w:rsid w:val="007762FE"/>
    <w:rsid w:val="007916EC"/>
    <w:rsid w:val="007A0B4D"/>
    <w:rsid w:val="007A63CE"/>
    <w:rsid w:val="007B42D3"/>
    <w:rsid w:val="007E745C"/>
    <w:rsid w:val="007F3790"/>
    <w:rsid w:val="007F3B93"/>
    <w:rsid w:val="007F3F7C"/>
    <w:rsid w:val="007F44AE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16227"/>
    <w:rsid w:val="00917ABA"/>
    <w:rsid w:val="009263FA"/>
    <w:rsid w:val="00926520"/>
    <w:rsid w:val="00937D26"/>
    <w:rsid w:val="00950EE6"/>
    <w:rsid w:val="00956A80"/>
    <w:rsid w:val="00960575"/>
    <w:rsid w:val="00967AAE"/>
    <w:rsid w:val="00972DD2"/>
    <w:rsid w:val="009900D5"/>
    <w:rsid w:val="00994983"/>
    <w:rsid w:val="009A208E"/>
    <w:rsid w:val="009C519B"/>
    <w:rsid w:val="009E089B"/>
    <w:rsid w:val="009E09C1"/>
    <w:rsid w:val="009E732A"/>
    <w:rsid w:val="009F5CEC"/>
    <w:rsid w:val="00A37923"/>
    <w:rsid w:val="00A46C21"/>
    <w:rsid w:val="00A55D77"/>
    <w:rsid w:val="00A703A4"/>
    <w:rsid w:val="00AA43E5"/>
    <w:rsid w:val="00AA5A0B"/>
    <w:rsid w:val="00AB42A5"/>
    <w:rsid w:val="00AC5179"/>
    <w:rsid w:val="00AD0E0C"/>
    <w:rsid w:val="00AF7667"/>
    <w:rsid w:val="00B01D64"/>
    <w:rsid w:val="00B04D0B"/>
    <w:rsid w:val="00B25F24"/>
    <w:rsid w:val="00B27E17"/>
    <w:rsid w:val="00B40436"/>
    <w:rsid w:val="00B65A43"/>
    <w:rsid w:val="00B67E6A"/>
    <w:rsid w:val="00B74925"/>
    <w:rsid w:val="00B76DA5"/>
    <w:rsid w:val="00B80E94"/>
    <w:rsid w:val="00B827D4"/>
    <w:rsid w:val="00B84CF1"/>
    <w:rsid w:val="00B94D12"/>
    <w:rsid w:val="00BC22C3"/>
    <w:rsid w:val="00BD0A9C"/>
    <w:rsid w:val="00BD1D90"/>
    <w:rsid w:val="00BD34B6"/>
    <w:rsid w:val="00BD39CF"/>
    <w:rsid w:val="00BE44B1"/>
    <w:rsid w:val="00BE6E4E"/>
    <w:rsid w:val="00C01FCF"/>
    <w:rsid w:val="00C055A7"/>
    <w:rsid w:val="00C069B7"/>
    <w:rsid w:val="00C1700D"/>
    <w:rsid w:val="00C40B9C"/>
    <w:rsid w:val="00C4574C"/>
    <w:rsid w:val="00C50842"/>
    <w:rsid w:val="00C53622"/>
    <w:rsid w:val="00C6111A"/>
    <w:rsid w:val="00C63144"/>
    <w:rsid w:val="00C65131"/>
    <w:rsid w:val="00C734F7"/>
    <w:rsid w:val="00C74803"/>
    <w:rsid w:val="00C769A7"/>
    <w:rsid w:val="00C77337"/>
    <w:rsid w:val="00C82132"/>
    <w:rsid w:val="00CA5C69"/>
    <w:rsid w:val="00CA63BA"/>
    <w:rsid w:val="00CB0752"/>
    <w:rsid w:val="00CC028D"/>
    <w:rsid w:val="00CD5480"/>
    <w:rsid w:val="00CD766D"/>
    <w:rsid w:val="00D00179"/>
    <w:rsid w:val="00D00461"/>
    <w:rsid w:val="00D14FE3"/>
    <w:rsid w:val="00D36903"/>
    <w:rsid w:val="00D6311B"/>
    <w:rsid w:val="00D668F8"/>
    <w:rsid w:val="00D70E31"/>
    <w:rsid w:val="00DA095F"/>
    <w:rsid w:val="00DA32D2"/>
    <w:rsid w:val="00DB01B7"/>
    <w:rsid w:val="00DC166C"/>
    <w:rsid w:val="00DD686B"/>
    <w:rsid w:val="00DE2B41"/>
    <w:rsid w:val="00E01AEF"/>
    <w:rsid w:val="00E12CE1"/>
    <w:rsid w:val="00E1332E"/>
    <w:rsid w:val="00E16CD1"/>
    <w:rsid w:val="00E21501"/>
    <w:rsid w:val="00E26E49"/>
    <w:rsid w:val="00E45C12"/>
    <w:rsid w:val="00E5094B"/>
    <w:rsid w:val="00E53D9C"/>
    <w:rsid w:val="00E54729"/>
    <w:rsid w:val="00E75758"/>
    <w:rsid w:val="00E81D90"/>
    <w:rsid w:val="00E82113"/>
    <w:rsid w:val="00E95E79"/>
    <w:rsid w:val="00EA055B"/>
    <w:rsid w:val="00EB2A5C"/>
    <w:rsid w:val="00EB7DFA"/>
    <w:rsid w:val="00EC009D"/>
    <w:rsid w:val="00EC3A7D"/>
    <w:rsid w:val="00ED12CF"/>
    <w:rsid w:val="00EE5DD2"/>
    <w:rsid w:val="00EE7E68"/>
    <w:rsid w:val="00EF0F21"/>
    <w:rsid w:val="00EF7E8C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D634B84F-C09F-4045-B15E-01CF95E8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טבלת רשת"/>
    <w:basedOn w:val="a1"/>
    <w:uiPriority w:val="99"/>
    <w:rsid w:val="00DD68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boldtext">
    <w:name w:val="boldtext"/>
    <w:rsid w:val="007F3F7C"/>
  </w:style>
  <w:style w:type="character" w:styleId="a9">
    <w:name w:val="Emphasis"/>
    <w:uiPriority w:val="20"/>
    <w:qFormat/>
    <w:rsid w:val="007E745C"/>
    <w:rPr>
      <w:rFonts w:cs="Times New Roman"/>
      <w:i/>
      <w:iCs/>
    </w:rPr>
  </w:style>
  <w:style w:type="paragraph" w:customStyle="1" w:styleId="IRIS">
    <w:name w:val="IRIS"/>
    <w:basedOn w:val="a"/>
    <w:rsid w:val="00D36903"/>
    <w:pPr>
      <w:overflowPunct w:val="0"/>
      <w:autoSpaceDE w:val="0"/>
      <w:autoSpaceDN w:val="0"/>
      <w:adjustRightInd w:val="0"/>
      <w:spacing w:line="480" w:lineRule="auto"/>
      <w:ind w:left="793" w:hanging="851"/>
      <w:jc w:val="both"/>
      <w:textAlignment w:val="baseline"/>
    </w:pPr>
    <w:rPr>
      <w:rFonts w:cs="David"/>
      <w:lang w:eastAsia="he-IL"/>
    </w:rPr>
  </w:style>
  <w:style w:type="character" w:styleId="Hyperlink">
    <w:name w:val="Hyperlink"/>
    <w:uiPriority w:val="99"/>
    <w:unhideWhenUsed/>
    <w:rsid w:val="00BD1D9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403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rsid w:val="001A4035"/>
  </w:style>
  <w:style w:type="paragraph" w:styleId="ab">
    <w:name w:val="Balloon Text"/>
    <w:basedOn w:val="a"/>
    <w:link w:val="ac"/>
    <w:uiPriority w:val="99"/>
    <w:rsid w:val="0040229E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link w:val="ab"/>
    <w:uiPriority w:val="99"/>
    <w:rsid w:val="0040229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7%D7%AA%D7%93%D7%A8%D7%94_(%D7%9B%D7%AA%D7%91_%D7%A2%D7%AA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bz.org.il/_Uploads/dbsAttachedFiles/Article_123.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AA%D7%A8%D7%91%D7%99%D7%A5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4191</Characters>
  <Application>Microsoft Office Word</Application>
  <DocSecurity>0</DocSecurity>
  <Lines>34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5019</CharactersWithSpaces>
  <SharedDoc>false</SharedDoc>
  <HLinks>
    <vt:vector size="18" baseType="variant">
      <vt:variant>
        <vt:i4>196618</vt:i4>
      </vt:variant>
      <vt:variant>
        <vt:i4>6</vt:i4>
      </vt:variant>
      <vt:variant>
        <vt:i4>0</vt:i4>
      </vt:variant>
      <vt:variant>
        <vt:i4>5</vt:i4>
      </vt:variant>
      <vt:variant>
        <vt:lpwstr>https://he.wikipedia.org/wiki/%D7%AA%D7%A8%D7%91%D7%99%D7%A5</vt:lpwstr>
      </vt:variant>
      <vt:variant>
        <vt:lpwstr/>
      </vt:variant>
      <vt:variant>
        <vt:i4>8126506</vt:i4>
      </vt:variant>
      <vt:variant>
        <vt:i4>3</vt:i4>
      </vt:variant>
      <vt:variant>
        <vt:i4>0</vt:i4>
      </vt:variant>
      <vt:variant>
        <vt:i4>5</vt:i4>
      </vt:variant>
      <vt:variant>
        <vt:lpwstr>https://he.wikipedia.org/wiki/%D7%A7%D7%AA%D7%93%D7%A8%D7%94_(%D7%9B%D7%AA%D7%91_%D7%A2%D7%AA)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http://www.ybz.org.il/_Uploads/dbsAttachedFiles/Article_123.7.pdf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cp:lastModifiedBy>יעל</cp:lastModifiedBy>
  <cp:revision>2</cp:revision>
  <cp:lastPrinted>2018-04-22T09:12:00Z</cp:lastPrinted>
  <dcterms:created xsi:type="dcterms:W3CDTF">2018-07-11T19:25:00Z</dcterms:created>
  <dcterms:modified xsi:type="dcterms:W3CDTF">2018-07-11T19:25:00Z</dcterms:modified>
</cp:coreProperties>
</file>