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D1D" w:rsidRDefault="00900D1D" w:rsidP="00900D1D">
      <w:pPr>
        <w:jc w:val="center"/>
        <w:rPr>
          <w:rFonts w:ascii="Arial" w:eastAsia="Times New Roman" w:hAnsi="Arial" w:cs="Tahoma"/>
          <w:bCs/>
          <w:color w:val="548DD4"/>
          <w:sz w:val="36"/>
          <w:szCs w:val="36"/>
          <w:rtl/>
        </w:rPr>
      </w:pPr>
      <w:r>
        <w:rPr>
          <w:rFonts w:ascii="Arial" w:eastAsia="Times New Roman" w:hAnsi="Arial" w:cs="Tahoma" w:hint="cs"/>
          <w:bCs/>
          <w:color w:val="548DD4"/>
          <w:sz w:val="20"/>
          <w:szCs w:val="20"/>
          <w:rtl/>
        </w:rPr>
        <w:t>אוניברסיטת בר-אילן</w:t>
      </w:r>
      <w:r>
        <w:rPr>
          <w:rFonts w:ascii="Arial" w:eastAsia="Times New Roman" w:hAnsi="Arial" w:cs="Tahoma"/>
          <w:bCs/>
          <w:color w:val="548DD4"/>
          <w:sz w:val="20"/>
          <w:szCs w:val="20"/>
          <w:rtl/>
        </w:rPr>
        <w:tab/>
      </w:r>
      <w:r>
        <w:rPr>
          <w:rFonts w:ascii="Arial" w:eastAsia="Times New Roman" w:hAnsi="Arial" w:cs="Tahoma"/>
          <w:bCs/>
          <w:color w:val="548DD4"/>
          <w:sz w:val="20"/>
          <w:szCs w:val="20"/>
          <w:rtl/>
        </w:rPr>
        <w:tab/>
      </w:r>
      <w:r>
        <w:rPr>
          <w:rFonts w:ascii="Arial" w:eastAsia="Times New Roman" w:hAnsi="Arial" w:cs="Tahoma"/>
          <w:bCs/>
          <w:color w:val="548DD4"/>
          <w:sz w:val="20"/>
          <w:szCs w:val="20"/>
          <w:rtl/>
        </w:rPr>
        <w:tab/>
      </w:r>
      <w:r>
        <w:rPr>
          <w:rFonts w:ascii="Arial" w:eastAsia="Times New Roman" w:hAnsi="Arial" w:cs="Tahoma" w:hint="cs"/>
          <w:bCs/>
          <w:color w:val="548DD4"/>
          <w:sz w:val="20"/>
          <w:szCs w:val="20"/>
          <w:rtl/>
        </w:rPr>
        <w:t xml:space="preserve">  </w:t>
      </w:r>
      <w:r>
        <w:rPr>
          <w:rFonts w:ascii="Arial" w:eastAsia="Times New Roman" w:hAnsi="Arial" w:cs="Tahoma"/>
          <w:bCs/>
          <w:color w:val="548DD4"/>
          <w:sz w:val="20"/>
          <w:szCs w:val="20"/>
          <w:rtl/>
        </w:rPr>
        <w:tab/>
      </w:r>
      <w:r>
        <w:rPr>
          <w:rFonts w:ascii="Arial" w:eastAsia="Times New Roman" w:hAnsi="Arial" w:cs="Tahoma"/>
          <w:bCs/>
          <w:color w:val="548DD4"/>
          <w:sz w:val="20"/>
          <w:szCs w:val="20"/>
          <w:rtl/>
        </w:rPr>
        <w:tab/>
      </w:r>
      <w:r>
        <w:rPr>
          <w:rFonts w:ascii="Arial" w:eastAsia="Times New Roman" w:hAnsi="Arial" w:cs="Tahoma"/>
          <w:bCs/>
          <w:color w:val="548DD4"/>
          <w:sz w:val="20"/>
          <w:szCs w:val="20"/>
          <w:rtl/>
        </w:rPr>
        <w:tab/>
      </w:r>
      <w:r>
        <w:rPr>
          <w:rFonts w:ascii="Arial" w:eastAsia="Times New Roman" w:hAnsi="Arial" w:cs="Tahoma" w:hint="cs"/>
          <w:bCs/>
          <w:color w:val="548DD4"/>
          <w:sz w:val="20"/>
          <w:szCs w:val="20"/>
          <w:rtl/>
        </w:rPr>
        <w:t>תאריך עדכון:</w:t>
      </w:r>
      <w:r>
        <w:rPr>
          <w:rFonts w:ascii="Arial" w:eastAsia="Times New Roman" w:hAnsi="Arial" w:cs="Tahoma"/>
          <w:bCs/>
          <w:color w:val="548DD4"/>
          <w:sz w:val="20"/>
          <w:szCs w:val="20"/>
          <w:rtl/>
        </w:rPr>
        <w:tab/>
      </w:r>
      <w:r>
        <w:rPr>
          <w:rFonts w:ascii="Arial" w:eastAsia="Times New Roman" w:hAnsi="Arial" w:cs="Tahoma" w:hint="cs"/>
          <w:bCs/>
          <w:color w:val="548DD4"/>
          <w:sz w:val="20"/>
          <w:szCs w:val="20"/>
          <w:rtl/>
        </w:rPr>
        <w:t xml:space="preserve">19.05.20                             </w:t>
      </w:r>
    </w:p>
    <w:p w:rsidR="002712F2" w:rsidRPr="00900D1D" w:rsidRDefault="002712F2" w:rsidP="00900D1D">
      <w:pPr>
        <w:jc w:val="center"/>
        <w:rPr>
          <w:rFonts w:ascii="Arial" w:eastAsia="Times New Roman" w:hAnsi="Arial" w:cs="Tahoma"/>
          <w:bCs/>
          <w:color w:val="548DD4"/>
          <w:sz w:val="36"/>
          <w:szCs w:val="36"/>
          <w:rtl/>
        </w:rPr>
      </w:pPr>
      <w:r w:rsidRPr="00900D1D">
        <w:rPr>
          <w:rFonts w:ascii="Arial" w:eastAsia="Times New Roman" w:hAnsi="Arial" w:cs="Tahoma"/>
          <w:bCs/>
          <w:color w:val="548DD4"/>
          <w:sz w:val="36"/>
          <w:szCs w:val="36"/>
          <w:rtl/>
        </w:rPr>
        <w:t>ארכיאולוגיה חברתית בימי בית שני</w:t>
      </w:r>
    </w:p>
    <w:p w:rsidR="00F47791" w:rsidRPr="00900D1D" w:rsidRDefault="00F47791" w:rsidP="00900D1D">
      <w:pPr>
        <w:jc w:val="center"/>
        <w:rPr>
          <w:rFonts w:ascii="Arial" w:eastAsia="Times New Roman" w:hAnsi="Arial" w:cs="Tahoma"/>
          <w:bCs/>
          <w:color w:val="548DD4"/>
          <w:sz w:val="32"/>
          <w:szCs w:val="32"/>
          <w:rtl/>
        </w:rPr>
      </w:pPr>
      <w:r w:rsidRPr="00900D1D">
        <w:rPr>
          <w:rFonts w:ascii="Arial" w:eastAsia="Times New Roman" w:hAnsi="Arial" w:cs="Tahoma"/>
          <w:bCs/>
          <w:color w:val="548DD4"/>
          <w:sz w:val="32"/>
          <w:szCs w:val="32"/>
          <w:rtl/>
        </w:rPr>
        <w:t xml:space="preserve">טהרה, קבורה, אומנות, </w:t>
      </w:r>
      <w:r w:rsidR="005018F3" w:rsidRPr="00900D1D">
        <w:rPr>
          <w:rFonts w:ascii="Arial" w:eastAsia="Times New Roman" w:hAnsi="Arial" w:cs="Tahoma" w:hint="cs"/>
          <w:bCs/>
          <w:color w:val="548DD4"/>
          <w:sz w:val="32"/>
          <w:szCs w:val="32"/>
          <w:rtl/>
        </w:rPr>
        <w:t xml:space="preserve">ח' </w:t>
      </w:r>
      <w:r w:rsidRPr="00900D1D">
        <w:rPr>
          <w:rFonts w:ascii="Arial" w:eastAsia="Times New Roman" w:hAnsi="Arial" w:cs="Tahoma"/>
          <w:bCs/>
          <w:color w:val="548DD4"/>
          <w:sz w:val="32"/>
          <w:szCs w:val="32"/>
          <w:rtl/>
        </w:rPr>
        <w:t>קומראן, מצדה</w:t>
      </w:r>
      <w:r w:rsidR="005018F3" w:rsidRPr="00900D1D">
        <w:rPr>
          <w:rFonts w:ascii="Arial" w:eastAsia="Times New Roman" w:hAnsi="Arial" w:cs="Tahoma" w:hint="cs"/>
          <w:bCs/>
          <w:color w:val="548DD4"/>
          <w:sz w:val="32"/>
          <w:szCs w:val="32"/>
          <w:rtl/>
        </w:rPr>
        <w:t xml:space="preserve"> במרד</w:t>
      </w:r>
      <w:r w:rsidR="005018F3" w:rsidRPr="00900D1D">
        <w:rPr>
          <w:rFonts w:ascii="Arial" w:eastAsia="Times New Roman" w:hAnsi="Arial" w:cs="Tahoma"/>
          <w:bCs/>
          <w:color w:val="548DD4"/>
          <w:sz w:val="32"/>
          <w:szCs w:val="32"/>
          <w:rtl/>
        </w:rPr>
        <w:t xml:space="preserve"> – ניתוח חברתי</w:t>
      </w:r>
    </w:p>
    <w:p w:rsidR="00900D1D" w:rsidRPr="00900D1D" w:rsidRDefault="00900D1D" w:rsidP="0029440E">
      <w:pPr>
        <w:jc w:val="center"/>
        <w:rPr>
          <w:rFonts w:ascii="Arial" w:eastAsia="Times New Roman" w:hAnsi="Arial" w:cs="Tahoma"/>
          <w:bCs/>
          <w:color w:val="548DD4"/>
          <w:sz w:val="32"/>
          <w:szCs w:val="32"/>
          <w:rtl/>
        </w:rPr>
      </w:pPr>
      <w:r w:rsidRPr="00900D1D">
        <w:rPr>
          <w:rFonts w:ascii="Arial" w:eastAsia="Times New Roman" w:hAnsi="Arial" w:cs="Tahoma" w:hint="cs"/>
          <w:bCs/>
          <w:color w:val="548DD4"/>
          <w:sz w:val="32"/>
          <w:szCs w:val="32"/>
          <w:rtl/>
        </w:rPr>
        <w:t>16-0025</w:t>
      </w:r>
    </w:p>
    <w:p w:rsidR="00900D1D" w:rsidRPr="00900D1D" w:rsidRDefault="00900D1D" w:rsidP="00900D1D">
      <w:pPr>
        <w:jc w:val="center"/>
        <w:rPr>
          <w:rFonts w:ascii="Arial" w:eastAsia="Times New Roman" w:hAnsi="Arial" w:cs="Tahoma"/>
          <w:bCs/>
          <w:color w:val="548DD4"/>
          <w:sz w:val="32"/>
          <w:szCs w:val="32"/>
          <w:rtl/>
        </w:rPr>
      </w:pPr>
      <w:r w:rsidRPr="00900D1D">
        <w:rPr>
          <w:rFonts w:ascii="Arial" w:eastAsia="Times New Roman" w:hAnsi="Arial" w:cs="Tahoma"/>
          <w:bCs/>
          <w:color w:val="548DD4"/>
          <w:sz w:val="32"/>
          <w:szCs w:val="32"/>
          <w:rtl/>
        </w:rPr>
        <w:t>פרופ' איל רגב</w:t>
      </w:r>
    </w:p>
    <w:p w:rsidR="00900D1D" w:rsidRPr="00900D1D" w:rsidRDefault="00900D1D" w:rsidP="00900D1D">
      <w:pPr>
        <w:spacing w:line="360" w:lineRule="auto"/>
        <w:rPr>
          <w:rFonts w:ascii="Arial" w:eastAsia="Times New Roman" w:hAnsi="Arial" w:cs="Tahoma"/>
          <w:bCs/>
          <w:color w:val="548DD4"/>
          <w:sz w:val="20"/>
          <w:szCs w:val="20"/>
          <w:rtl/>
        </w:rPr>
      </w:pPr>
      <w:r w:rsidRPr="00D12011">
        <w:rPr>
          <w:rFonts w:ascii="Arial" w:eastAsia="Times New Roman" w:hAnsi="Arial" w:cs="Tahoma"/>
          <w:bCs/>
          <w:color w:val="548DD4"/>
          <w:sz w:val="20"/>
          <w:szCs w:val="20"/>
          <w:rtl/>
        </w:rPr>
        <w:t xml:space="preserve">שנת לימודים:   </w:t>
      </w:r>
      <w:r w:rsidRPr="00D12011">
        <w:rPr>
          <w:rFonts w:ascii="Arial" w:eastAsia="Times New Roman" w:hAnsi="Arial" w:cs="Tahoma" w:hint="cs"/>
          <w:bCs/>
          <w:color w:val="548DD4"/>
          <w:sz w:val="20"/>
          <w:szCs w:val="20"/>
          <w:rtl/>
        </w:rPr>
        <w:t>תשפ"א</w:t>
      </w:r>
      <w:r w:rsidRPr="00D12011">
        <w:rPr>
          <w:rFonts w:ascii="Arial" w:eastAsia="Times New Roman" w:hAnsi="Arial" w:cs="Tahoma"/>
          <w:bCs/>
          <w:color w:val="548DD4"/>
          <w:sz w:val="20"/>
          <w:szCs w:val="20"/>
          <w:rtl/>
        </w:rPr>
        <w:t xml:space="preserve">        </w:t>
      </w:r>
      <w:r w:rsidRPr="00D12011">
        <w:rPr>
          <w:rFonts w:ascii="Arial" w:eastAsia="Times New Roman" w:hAnsi="Arial" w:cs="Tahoma" w:hint="cs"/>
          <w:bCs/>
          <w:color w:val="548DD4"/>
          <w:sz w:val="20"/>
          <w:szCs w:val="20"/>
          <w:rtl/>
        </w:rPr>
        <w:t xml:space="preserve"> </w:t>
      </w:r>
      <w:r w:rsidR="00E070B2">
        <w:rPr>
          <w:rFonts w:ascii="Arial" w:eastAsia="Times New Roman" w:hAnsi="Arial" w:cs="Tahoma" w:hint="cs"/>
          <w:bCs/>
          <w:color w:val="548DD4"/>
          <w:sz w:val="20"/>
          <w:szCs w:val="20"/>
          <w:rtl/>
        </w:rPr>
        <w:t>סוג ה</w:t>
      </w:r>
      <w:r w:rsidRPr="00D12011">
        <w:rPr>
          <w:rFonts w:ascii="Arial" w:eastAsia="Times New Roman" w:hAnsi="Arial" w:cs="Tahoma" w:hint="cs"/>
          <w:bCs/>
          <w:color w:val="548DD4"/>
          <w:sz w:val="20"/>
          <w:szCs w:val="20"/>
          <w:rtl/>
        </w:rPr>
        <w:t>קורס</w:t>
      </w:r>
      <w:r w:rsidR="00E070B2">
        <w:rPr>
          <w:rFonts w:ascii="Arial" w:eastAsia="Times New Roman" w:hAnsi="Arial" w:cs="Tahoma" w:hint="cs"/>
          <w:bCs/>
          <w:color w:val="548DD4"/>
          <w:sz w:val="20"/>
          <w:szCs w:val="20"/>
          <w:rtl/>
        </w:rPr>
        <w:t>: הרצאה</w:t>
      </w:r>
      <w:r w:rsidR="00E070B2">
        <w:rPr>
          <w:rFonts w:ascii="Arial" w:eastAsia="Times New Roman" w:hAnsi="Arial" w:cs="Tahoma"/>
          <w:bCs/>
          <w:color w:val="548DD4"/>
          <w:sz w:val="20"/>
          <w:szCs w:val="20"/>
          <w:rtl/>
        </w:rPr>
        <w:tab/>
      </w:r>
      <w:r w:rsidR="00E070B2">
        <w:rPr>
          <w:rFonts w:ascii="Arial" w:eastAsia="Times New Roman" w:hAnsi="Arial" w:cs="Tahoma"/>
          <w:bCs/>
          <w:color w:val="548DD4"/>
          <w:sz w:val="20"/>
          <w:szCs w:val="20"/>
          <w:rtl/>
        </w:rPr>
        <w:tab/>
      </w:r>
      <w:bookmarkStart w:id="0" w:name="_GoBack"/>
      <w:bookmarkEnd w:id="0"/>
      <w:r w:rsidRPr="00D12011">
        <w:rPr>
          <w:rFonts w:ascii="Arial" w:eastAsia="Times New Roman" w:hAnsi="Arial" w:cs="Tahoma" w:hint="cs"/>
          <w:bCs/>
          <w:color w:val="548DD4"/>
          <w:sz w:val="20"/>
          <w:szCs w:val="20"/>
          <w:rtl/>
        </w:rPr>
        <w:t xml:space="preserve"> סמסטר</w:t>
      </w:r>
      <w:r w:rsidR="00E070B2">
        <w:rPr>
          <w:rFonts w:ascii="Arial" w:eastAsia="Times New Roman" w:hAnsi="Arial" w:cs="Tahoma" w:hint="cs"/>
          <w:bCs/>
          <w:color w:val="548DD4"/>
          <w:sz w:val="20"/>
          <w:szCs w:val="20"/>
          <w:rtl/>
        </w:rPr>
        <w:t>:</w:t>
      </w:r>
      <w:r w:rsidRPr="00D12011">
        <w:rPr>
          <w:rFonts w:ascii="Arial" w:eastAsia="Times New Roman" w:hAnsi="Arial" w:cs="Tahoma" w:hint="cs"/>
          <w:bCs/>
          <w:color w:val="548DD4"/>
          <w:sz w:val="20"/>
          <w:szCs w:val="20"/>
          <w:rtl/>
        </w:rPr>
        <w:t xml:space="preserve"> </w:t>
      </w:r>
      <w:r>
        <w:rPr>
          <w:rFonts w:ascii="Arial" w:eastAsia="Times New Roman" w:hAnsi="Arial" w:cs="Tahoma" w:hint="cs"/>
          <w:bCs/>
          <w:color w:val="548DD4"/>
          <w:sz w:val="20"/>
          <w:szCs w:val="20"/>
          <w:rtl/>
        </w:rPr>
        <w:t>ב</w:t>
      </w:r>
      <w:r w:rsidRPr="00D12011">
        <w:rPr>
          <w:rFonts w:ascii="Arial" w:eastAsia="Times New Roman" w:hAnsi="Arial" w:cs="Tahoma"/>
          <w:bCs/>
          <w:color w:val="548DD4"/>
          <w:sz w:val="20"/>
          <w:szCs w:val="20"/>
          <w:rtl/>
        </w:rPr>
        <w:t xml:space="preserve">          </w:t>
      </w:r>
      <w:r w:rsidRPr="00D12011">
        <w:rPr>
          <w:rFonts w:ascii="Arial" w:eastAsia="Times New Roman" w:hAnsi="Arial" w:cs="Tahoma" w:hint="cs"/>
          <w:bCs/>
          <w:color w:val="548DD4"/>
          <w:sz w:val="20"/>
          <w:szCs w:val="20"/>
          <w:rtl/>
        </w:rPr>
        <w:t xml:space="preserve"> 26 ש"ש</w:t>
      </w:r>
    </w:p>
    <w:p w:rsidR="002712F2" w:rsidRPr="00900D1D" w:rsidRDefault="002712F2" w:rsidP="00900D1D">
      <w:pPr>
        <w:spacing w:line="360" w:lineRule="auto"/>
        <w:jc w:val="both"/>
        <w:rPr>
          <w:rFonts w:ascii="David" w:hAnsi="David" w:cs="David"/>
          <w:sz w:val="24"/>
          <w:szCs w:val="24"/>
          <w:rtl/>
        </w:rPr>
      </w:pPr>
      <w:r w:rsidRPr="00900D1D">
        <w:rPr>
          <w:rFonts w:ascii="David" w:hAnsi="David" w:cs="David"/>
          <w:sz w:val="24"/>
          <w:szCs w:val="24"/>
          <w:rtl/>
        </w:rPr>
        <w:t>ת</w:t>
      </w:r>
      <w:r w:rsidR="00900D1D" w:rsidRPr="00900D1D">
        <w:rPr>
          <w:rFonts w:ascii="David" w:hAnsi="David" w:cs="David"/>
          <w:sz w:val="24"/>
          <w:szCs w:val="24"/>
          <w:rtl/>
        </w:rPr>
        <w:t>י</w:t>
      </w:r>
      <w:r w:rsidRPr="00900D1D">
        <w:rPr>
          <w:rFonts w:ascii="David" w:hAnsi="David" w:cs="David"/>
          <w:sz w:val="24"/>
          <w:szCs w:val="24"/>
          <w:rtl/>
        </w:rPr>
        <w:t>אור הקורס:</w:t>
      </w:r>
      <w:r w:rsidR="00F47791" w:rsidRPr="00900D1D">
        <w:rPr>
          <w:rFonts w:ascii="David" w:hAnsi="David" w:cs="David"/>
          <w:sz w:val="24"/>
          <w:szCs w:val="24"/>
          <w:rtl/>
        </w:rPr>
        <w:t xml:space="preserve">  </w:t>
      </w:r>
      <w:r w:rsidRPr="00900D1D">
        <w:rPr>
          <w:rFonts w:ascii="David" w:hAnsi="David" w:cs="David"/>
          <w:sz w:val="24"/>
          <w:szCs w:val="24"/>
          <w:rtl/>
        </w:rPr>
        <w:t>הממצא הארכיאולוגי יכול ללמד אותנו רבות על החברה בסוף ימי בית שני אם נדע לנתח אותו נכון. הקורס יעסוק בדרכים בהן תרבות חומרית יכולה ללמד על מבנה חברתי, יחסים חברתיים וערכים בתוך החברה. נכיר מספר שיטות אנתרופולוגיות המאפשרות לקשר את הממצא הארכיאולוגי עם תופעות חברתיות. נתמקד בהיבטים חברתיים של הלכה (דיני טומאה וטהרה), צריכת מוצרי מותרות (קרמיקה מיובאת, אומנות מיובאת, או העדרן), שיטות קבורה, ואומנות סימבולית. הדוגמאות הארכיאולוגיות שיידונו הן מירושלים בתקופה ההלניסטית והרומית, ארמונות החשמונאים ביריחו, קומראן, שפלת יהודה, וכן מן הגליל המערבי ותל אנפה.</w:t>
      </w:r>
    </w:p>
    <w:p w:rsidR="002712F2" w:rsidRPr="00900D1D" w:rsidRDefault="002712F2" w:rsidP="00900D1D">
      <w:pPr>
        <w:spacing w:line="360" w:lineRule="auto"/>
        <w:rPr>
          <w:rFonts w:ascii="David" w:hAnsi="David" w:cs="David"/>
          <w:sz w:val="24"/>
          <w:szCs w:val="24"/>
          <w:rtl/>
        </w:rPr>
      </w:pPr>
      <w:r w:rsidRPr="00900D1D">
        <w:rPr>
          <w:rFonts w:ascii="David" w:hAnsi="David" w:cs="David"/>
          <w:sz w:val="24"/>
          <w:szCs w:val="24"/>
          <w:rtl/>
        </w:rPr>
        <w:t>דרישות קדם:</w:t>
      </w:r>
    </w:p>
    <w:p w:rsidR="002712F2" w:rsidRPr="00900D1D" w:rsidRDefault="002712F2" w:rsidP="00900D1D">
      <w:pPr>
        <w:spacing w:line="360" w:lineRule="auto"/>
        <w:rPr>
          <w:rFonts w:ascii="David" w:hAnsi="David" w:cs="David"/>
          <w:sz w:val="24"/>
          <w:szCs w:val="24"/>
          <w:rtl/>
        </w:rPr>
      </w:pPr>
      <w:r w:rsidRPr="00900D1D">
        <w:rPr>
          <w:rFonts w:ascii="David" w:hAnsi="David" w:cs="David"/>
          <w:sz w:val="24"/>
          <w:szCs w:val="24"/>
          <w:rtl/>
        </w:rPr>
        <w:t>קורס מבוא בתק' בית שני/הלניסטית-רומית</w:t>
      </w:r>
    </w:p>
    <w:p w:rsidR="002712F2" w:rsidRPr="00900D1D" w:rsidRDefault="002712F2" w:rsidP="00900D1D">
      <w:pPr>
        <w:spacing w:line="360" w:lineRule="auto"/>
        <w:rPr>
          <w:rFonts w:ascii="David" w:hAnsi="David" w:cs="David"/>
          <w:sz w:val="24"/>
          <w:szCs w:val="24"/>
          <w:rtl/>
        </w:rPr>
      </w:pPr>
      <w:r w:rsidRPr="00900D1D">
        <w:rPr>
          <w:rFonts w:ascii="David" w:hAnsi="David" w:cs="David"/>
          <w:sz w:val="24"/>
          <w:szCs w:val="24"/>
          <w:rtl/>
        </w:rPr>
        <w:t>מרכיבי הציון הסופי:</w:t>
      </w:r>
    </w:p>
    <w:p w:rsidR="002712F2" w:rsidRPr="00900D1D" w:rsidRDefault="002712F2" w:rsidP="00900D1D">
      <w:pPr>
        <w:spacing w:line="360" w:lineRule="auto"/>
        <w:rPr>
          <w:rFonts w:ascii="David" w:hAnsi="David" w:cs="David"/>
          <w:sz w:val="24"/>
          <w:szCs w:val="24"/>
          <w:rtl/>
        </w:rPr>
      </w:pPr>
      <w:r w:rsidRPr="00900D1D">
        <w:rPr>
          <w:rFonts w:ascii="David" w:hAnsi="David" w:cs="David"/>
          <w:sz w:val="24"/>
          <w:szCs w:val="24"/>
          <w:rtl/>
        </w:rPr>
        <w:t>מרכיבי הציון הסופי: השתתפות פעילה בשיעורים 1%מבחן 99%</w:t>
      </w:r>
    </w:p>
    <w:p w:rsidR="002712F2" w:rsidRPr="00900D1D" w:rsidRDefault="002712F2" w:rsidP="00900D1D">
      <w:pPr>
        <w:spacing w:line="360" w:lineRule="auto"/>
        <w:rPr>
          <w:rFonts w:ascii="David" w:hAnsi="David" w:cs="David"/>
          <w:sz w:val="24"/>
          <w:szCs w:val="24"/>
          <w:rtl/>
        </w:rPr>
      </w:pPr>
      <w:r w:rsidRPr="00900D1D">
        <w:rPr>
          <w:rFonts w:ascii="David" w:hAnsi="David" w:cs="David"/>
          <w:sz w:val="24"/>
          <w:szCs w:val="24"/>
          <w:rtl/>
        </w:rPr>
        <w:t>תכנית מפורטת של הקורס וביבליוגרפיה (* מסמנת קריאת חובה):</w:t>
      </w:r>
    </w:p>
    <w:p w:rsidR="00F47791" w:rsidRPr="00900D1D" w:rsidRDefault="0050646E" w:rsidP="00900D1D">
      <w:pPr>
        <w:spacing w:line="360" w:lineRule="auto"/>
        <w:jc w:val="center"/>
        <w:rPr>
          <w:rFonts w:ascii="David" w:hAnsi="David" w:cs="David"/>
          <w:b/>
          <w:bCs/>
          <w:sz w:val="24"/>
          <w:szCs w:val="24"/>
          <w:rtl/>
        </w:rPr>
      </w:pPr>
      <w:r w:rsidRPr="00900D1D">
        <w:rPr>
          <w:rFonts w:ascii="David" w:hAnsi="David" w:cs="David"/>
          <w:b/>
          <w:bCs/>
          <w:sz w:val="24"/>
          <w:szCs w:val="24"/>
          <w:rtl/>
        </w:rPr>
        <w:t>טומאה וטהרה – למה דווקא עכשיו, בשביל מה ובשביל מי?</w:t>
      </w:r>
    </w:p>
    <w:p w:rsidR="00F47791" w:rsidRPr="00900D1D" w:rsidRDefault="005018F3" w:rsidP="00900D1D">
      <w:pPr>
        <w:spacing w:line="360" w:lineRule="auto"/>
        <w:rPr>
          <w:rFonts w:ascii="David" w:hAnsi="David" w:cs="David"/>
          <w:sz w:val="24"/>
          <w:szCs w:val="24"/>
          <w:rtl/>
        </w:rPr>
      </w:pPr>
      <w:r w:rsidRPr="00900D1D">
        <w:rPr>
          <w:rFonts w:ascii="David" w:hAnsi="David" w:cs="David"/>
          <w:sz w:val="24"/>
          <w:szCs w:val="24"/>
          <w:rtl/>
        </w:rPr>
        <w:t>1</w:t>
      </w:r>
      <w:r w:rsidR="0050646E" w:rsidRPr="00900D1D">
        <w:rPr>
          <w:rFonts w:ascii="David" w:hAnsi="David" w:cs="David"/>
          <w:sz w:val="24"/>
          <w:szCs w:val="24"/>
          <w:rtl/>
        </w:rPr>
        <w:t>.</w:t>
      </w:r>
      <w:r w:rsidRPr="00900D1D">
        <w:rPr>
          <w:rFonts w:ascii="David" w:hAnsi="David" w:cs="David"/>
          <w:sz w:val="24"/>
          <w:szCs w:val="24"/>
          <w:rtl/>
        </w:rPr>
        <w:t xml:space="preserve"> </w:t>
      </w:r>
      <w:r w:rsidR="00F47791" w:rsidRPr="00900D1D">
        <w:rPr>
          <w:rFonts w:ascii="David" w:hAnsi="David" w:cs="David"/>
          <w:sz w:val="24"/>
          <w:szCs w:val="24"/>
          <w:rtl/>
        </w:rPr>
        <w:t>מקוואות, הלכה וחברה: א. טהרה של מעמדות –כוהנים  מול ישראלים. ב. מקוואות של כיתות – פרושים וצדוקים. ג. מקוואות טהרה בסמוך לבתי כנסת וקברים. ד. מקוואות הר הבית.</w:t>
      </w:r>
    </w:p>
    <w:p w:rsidR="00F47791" w:rsidRPr="00900D1D" w:rsidRDefault="00F47791" w:rsidP="00900D1D">
      <w:pPr>
        <w:spacing w:line="360" w:lineRule="auto"/>
        <w:rPr>
          <w:rFonts w:ascii="David" w:hAnsi="David" w:cs="David"/>
          <w:sz w:val="24"/>
          <w:szCs w:val="24"/>
          <w:rtl/>
        </w:rPr>
      </w:pPr>
      <w:r w:rsidRPr="00900D1D">
        <w:rPr>
          <w:rFonts w:ascii="David" w:hAnsi="David" w:cs="David"/>
          <w:sz w:val="24"/>
          <w:szCs w:val="24"/>
          <w:rtl/>
        </w:rPr>
        <w:t>*רגב א', 'מקוואות טהרה של מעמדות וכיתות בישראל בימי בית שני', קתדרה 79 (תשנ"ו), עמ' 3-21.</w:t>
      </w:r>
    </w:p>
    <w:p w:rsidR="00F47791" w:rsidRPr="00900D1D" w:rsidRDefault="00F47791" w:rsidP="00900D1D">
      <w:pPr>
        <w:spacing w:line="360" w:lineRule="auto"/>
        <w:rPr>
          <w:rFonts w:ascii="David" w:hAnsi="David" w:cs="David"/>
          <w:sz w:val="24"/>
          <w:szCs w:val="24"/>
          <w:rtl/>
        </w:rPr>
      </w:pPr>
      <w:r w:rsidRPr="00900D1D">
        <w:rPr>
          <w:rFonts w:ascii="David" w:hAnsi="David" w:cs="David"/>
          <w:sz w:val="24"/>
          <w:szCs w:val="24"/>
          <w:rtl/>
        </w:rPr>
        <w:t>*אדלר, י', 'בתי כנסת עתיקים ומקוואות טהרה: הממצא הארכיאולוגי וזיקתו להלכה קדומה', קתדרה 128 (תשס"ח), עמ' 51-72.</w:t>
      </w:r>
    </w:p>
    <w:p w:rsidR="00F47791" w:rsidRPr="00900D1D" w:rsidRDefault="00F47791" w:rsidP="00900D1D">
      <w:pPr>
        <w:spacing w:line="360" w:lineRule="auto"/>
        <w:rPr>
          <w:rFonts w:ascii="David" w:hAnsi="David" w:cs="David"/>
          <w:sz w:val="24"/>
          <w:szCs w:val="24"/>
          <w:rtl/>
        </w:rPr>
      </w:pPr>
      <w:r w:rsidRPr="00900D1D">
        <w:rPr>
          <w:rFonts w:ascii="David" w:hAnsi="David" w:cs="David"/>
          <w:sz w:val="24"/>
          <w:szCs w:val="24"/>
          <w:rtl/>
        </w:rPr>
        <w:t> </w:t>
      </w:r>
      <w:r w:rsidR="0050646E" w:rsidRPr="00900D1D">
        <w:rPr>
          <w:rFonts w:ascii="David" w:hAnsi="David" w:cs="David"/>
          <w:sz w:val="24"/>
          <w:szCs w:val="24"/>
          <w:rtl/>
        </w:rPr>
        <w:t xml:space="preserve">2. </w:t>
      </w:r>
      <w:r w:rsidRPr="00900D1D">
        <w:rPr>
          <w:rFonts w:ascii="David" w:hAnsi="David" w:cs="David"/>
          <w:sz w:val="24"/>
          <w:szCs w:val="24"/>
          <w:rtl/>
        </w:rPr>
        <w:t>כלי אבן, טהרת חולין, ואינדיבידואליזם בחברה היהודית</w:t>
      </w:r>
    </w:p>
    <w:p w:rsidR="00F47791" w:rsidRPr="00900D1D" w:rsidRDefault="00F47791" w:rsidP="00900D1D">
      <w:pPr>
        <w:spacing w:line="360" w:lineRule="auto"/>
        <w:rPr>
          <w:rFonts w:ascii="David" w:hAnsi="David" w:cs="David"/>
          <w:sz w:val="24"/>
          <w:szCs w:val="24"/>
          <w:rtl/>
        </w:rPr>
      </w:pPr>
      <w:r w:rsidRPr="00900D1D">
        <w:rPr>
          <w:rFonts w:ascii="David" w:hAnsi="David" w:cs="David"/>
          <w:sz w:val="24"/>
          <w:szCs w:val="24"/>
        </w:rPr>
        <w:lastRenderedPageBreak/>
        <w:t>Regev, E. 2000. 'Pure Individualism: The Idea of Non- Priestly Purity in Ancient Judaism</w:t>
      </w:r>
      <w:r w:rsidRPr="00900D1D">
        <w:rPr>
          <w:rFonts w:ascii="David" w:hAnsi="David" w:cs="David"/>
          <w:sz w:val="24"/>
          <w:szCs w:val="24"/>
          <w:rtl/>
        </w:rPr>
        <w:t>', </w:t>
      </w:r>
      <w:r w:rsidRPr="00900D1D">
        <w:rPr>
          <w:rFonts w:ascii="David" w:hAnsi="David" w:cs="David"/>
          <w:sz w:val="24"/>
          <w:szCs w:val="24"/>
        </w:rPr>
        <w:t>JSJ</w:t>
      </w:r>
      <w:r w:rsidRPr="00900D1D">
        <w:rPr>
          <w:rFonts w:ascii="David" w:hAnsi="David" w:cs="David"/>
          <w:sz w:val="24"/>
          <w:szCs w:val="24"/>
          <w:rtl/>
        </w:rPr>
        <w:t> 31, 176-202.</w:t>
      </w:r>
    </w:p>
    <w:p w:rsidR="00F47791" w:rsidRPr="00900D1D" w:rsidRDefault="00F47791" w:rsidP="00900D1D">
      <w:pPr>
        <w:spacing w:line="360" w:lineRule="auto"/>
        <w:rPr>
          <w:rFonts w:ascii="David" w:hAnsi="David" w:cs="David"/>
          <w:sz w:val="24"/>
          <w:szCs w:val="24"/>
          <w:rtl/>
        </w:rPr>
      </w:pPr>
      <w:r w:rsidRPr="00900D1D">
        <w:rPr>
          <w:rFonts w:ascii="David" w:hAnsi="David" w:cs="David"/>
          <w:sz w:val="24"/>
          <w:szCs w:val="24"/>
          <w:rtl/>
        </w:rPr>
        <w:t> </w:t>
      </w:r>
      <w:r w:rsidR="0050646E" w:rsidRPr="00900D1D">
        <w:rPr>
          <w:rFonts w:ascii="David" w:hAnsi="David" w:cs="David"/>
          <w:sz w:val="24"/>
          <w:szCs w:val="24"/>
          <w:rtl/>
        </w:rPr>
        <w:t>3.</w:t>
      </w:r>
      <w:r w:rsidRPr="00900D1D">
        <w:rPr>
          <w:rFonts w:ascii="David" w:hAnsi="David" w:cs="David"/>
          <w:sz w:val="24"/>
          <w:szCs w:val="24"/>
          <w:rtl/>
        </w:rPr>
        <w:t> טומאת נכרים והזהות האתנית של היהודים בארץ-ישראל במאה השנייה.</w:t>
      </w:r>
    </w:p>
    <w:p w:rsidR="00F47791" w:rsidRPr="00900D1D" w:rsidRDefault="00F47791" w:rsidP="00900D1D">
      <w:pPr>
        <w:spacing w:line="360" w:lineRule="auto"/>
        <w:rPr>
          <w:rFonts w:ascii="David" w:hAnsi="David" w:cs="David"/>
          <w:sz w:val="24"/>
          <w:szCs w:val="24"/>
          <w:rtl/>
        </w:rPr>
      </w:pPr>
      <w:r w:rsidRPr="00900D1D">
        <w:rPr>
          <w:rFonts w:ascii="David" w:hAnsi="David" w:cs="David"/>
          <w:sz w:val="24"/>
          <w:szCs w:val="24"/>
          <w:rtl/>
        </w:rPr>
        <w:t>?בירנבוים "ח', 'טומאת נכרים בעת העתיקה', ? קתדרה 139 (תשע"א) 7-30.</w:t>
      </w:r>
    </w:p>
    <w:p w:rsidR="00F47791" w:rsidRPr="00900D1D" w:rsidRDefault="00F47791" w:rsidP="00900D1D">
      <w:pPr>
        <w:spacing w:line="360" w:lineRule="auto"/>
        <w:rPr>
          <w:rFonts w:ascii="David" w:hAnsi="David" w:cs="David"/>
          <w:sz w:val="24"/>
          <w:szCs w:val="24"/>
          <w:rtl/>
        </w:rPr>
      </w:pPr>
    </w:p>
    <w:p w:rsidR="00F47791" w:rsidRPr="00900D1D" w:rsidRDefault="00F47791" w:rsidP="00900D1D">
      <w:pPr>
        <w:spacing w:line="360" w:lineRule="auto"/>
        <w:rPr>
          <w:rFonts w:ascii="David" w:hAnsi="David" w:cs="David"/>
          <w:sz w:val="24"/>
          <w:szCs w:val="24"/>
          <w:rtl/>
        </w:rPr>
      </w:pPr>
      <w:r w:rsidRPr="00900D1D">
        <w:rPr>
          <w:rFonts w:ascii="David" w:hAnsi="David" w:cs="David"/>
          <w:sz w:val="24"/>
          <w:szCs w:val="24"/>
          <w:rtl/>
        </w:rPr>
        <w:t>התרבות הקראמית  של  היהודים בתקופת החשמונאים ובית הורדוס</w:t>
      </w:r>
    </w:p>
    <w:p w:rsidR="00F47791" w:rsidRPr="00900D1D" w:rsidRDefault="00F47791" w:rsidP="00900D1D">
      <w:pPr>
        <w:bidi w:val="0"/>
        <w:spacing w:line="360" w:lineRule="auto"/>
        <w:rPr>
          <w:rFonts w:ascii="David" w:hAnsi="David" w:cs="David"/>
          <w:sz w:val="24"/>
          <w:szCs w:val="24"/>
          <w:rtl/>
        </w:rPr>
      </w:pPr>
      <w:r w:rsidRPr="00900D1D">
        <w:rPr>
          <w:rFonts w:ascii="David" w:hAnsi="David" w:cs="David"/>
          <w:sz w:val="24"/>
          <w:szCs w:val="24"/>
        </w:rPr>
        <w:t>Berlin, A</w:t>
      </w:r>
      <w:r w:rsidRPr="00900D1D">
        <w:rPr>
          <w:rFonts w:ascii="David" w:hAnsi="David" w:cs="David"/>
          <w:sz w:val="24"/>
          <w:szCs w:val="24"/>
          <w:rtl/>
        </w:rPr>
        <w:t>., </w:t>
      </w:r>
      <w:hyperlink r:id="rId8" w:history="1">
        <w:r w:rsidRPr="00900D1D">
          <w:rPr>
            <w:rStyle w:val="Hyperlink"/>
            <w:rFonts w:ascii="David" w:hAnsi="David" w:cs="David"/>
            <w:sz w:val="24"/>
            <w:szCs w:val="24"/>
            <w:rtl/>
          </w:rPr>
          <w:t>"</w:t>
        </w:r>
        <w:r w:rsidRPr="00900D1D">
          <w:rPr>
            <w:rStyle w:val="Hyperlink"/>
            <w:rFonts w:ascii="David" w:hAnsi="David" w:cs="David"/>
            <w:sz w:val="24"/>
            <w:szCs w:val="24"/>
          </w:rPr>
          <w:t>Jewish Life Before the Revolt: The Archaeological Evidence," Journal for the Study of Judaism 36.4 (2005), pp. 417-70</w:t>
        </w:r>
      </w:hyperlink>
      <w:r w:rsidRPr="00900D1D">
        <w:rPr>
          <w:rFonts w:ascii="David" w:hAnsi="David" w:cs="David"/>
          <w:sz w:val="24"/>
          <w:szCs w:val="24"/>
          <w:rtl/>
        </w:rPr>
        <w:t>.</w:t>
      </w:r>
    </w:p>
    <w:p w:rsidR="00F47791" w:rsidRPr="00900D1D" w:rsidRDefault="00F47791" w:rsidP="00900D1D">
      <w:pPr>
        <w:bidi w:val="0"/>
        <w:spacing w:line="360" w:lineRule="auto"/>
        <w:rPr>
          <w:rFonts w:ascii="David" w:hAnsi="David" w:cs="David"/>
          <w:sz w:val="24"/>
          <w:szCs w:val="24"/>
          <w:rtl/>
        </w:rPr>
      </w:pPr>
      <w:r w:rsidRPr="00900D1D">
        <w:rPr>
          <w:rFonts w:ascii="David" w:hAnsi="David" w:cs="David"/>
          <w:sz w:val="24"/>
          <w:szCs w:val="24"/>
        </w:rPr>
        <w:t>Berlin, A</w:t>
      </w:r>
      <w:r w:rsidRPr="00900D1D">
        <w:rPr>
          <w:rFonts w:ascii="David" w:hAnsi="David" w:cs="David"/>
          <w:sz w:val="24"/>
          <w:szCs w:val="24"/>
          <w:rtl/>
        </w:rPr>
        <w:t>., </w:t>
      </w:r>
      <w:hyperlink r:id="rId9" w:history="1">
        <w:proofErr w:type="spellStart"/>
        <w:r w:rsidRPr="00900D1D">
          <w:rPr>
            <w:rStyle w:val="Hyperlink"/>
            <w:rFonts w:ascii="David" w:hAnsi="David" w:cs="David"/>
            <w:sz w:val="24"/>
            <w:szCs w:val="24"/>
          </w:rPr>
          <w:t>Gamla</w:t>
        </w:r>
        <w:proofErr w:type="spellEnd"/>
        <w:r w:rsidRPr="00900D1D">
          <w:rPr>
            <w:rStyle w:val="Hyperlink"/>
            <w:rFonts w:ascii="David" w:hAnsi="David" w:cs="David"/>
            <w:sz w:val="24"/>
            <w:szCs w:val="24"/>
          </w:rPr>
          <w:t>. Final Reports, vol. I. The Pottery of the Second Temple Period</w:t>
        </w:r>
        <w:r w:rsidRPr="00900D1D">
          <w:rPr>
            <w:rStyle w:val="Hyperlink"/>
            <w:rFonts w:ascii="David" w:hAnsi="David" w:cs="David"/>
            <w:sz w:val="24"/>
            <w:szCs w:val="24"/>
            <w:rtl/>
          </w:rPr>
          <w:t xml:space="preserve">. </w:t>
        </w:r>
        <w:r w:rsidRPr="00900D1D">
          <w:rPr>
            <w:rStyle w:val="Hyperlink"/>
            <w:rFonts w:ascii="David" w:hAnsi="David" w:cs="David"/>
            <w:sz w:val="24"/>
            <w:szCs w:val="24"/>
          </w:rPr>
          <w:t>Israel Antiquities Authority Reports no. 29. Israel Antiquities Authority, Jerusalem. 2006, pp. 100-156</w:t>
        </w:r>
        <w:r w:rsidRPr="00900D1D">
          <w:rPr>
            <w:rStyle w:val="Hyperlink"/>
            <w:rFonts w:ascii="David" w:hAnsi="David" w:cs="David"/>
            <w:sz w:val="24"/>
            <w:szCs w:val="24"/>
            <w:rtl/>
          </w:rPr>
          <w:t>.</w:t>
        </w:r>
      </w:hyperlink>
    </w:p>
    <w:p w:rsidR="00F47791" w:rsidRPr="00900D1D" w:rsidRDefault="0050646E" w:rsidP="00900D1D">
      <w:pPr>
        <w:spacing w:line="360" w:lineRule="auto"/>
        <w:jc w:val="center"/>
        <w:rPr>
          <w:rFonts w:ascii="David" w:hAnsi="David" w:cs="David"/>
          <w:b/>
          <w:bCs/>
          <w:sz w:val="24"/>
          <w:szCs w:val="24"/>
          <w:rtl/>
        </w:rPr>
      </w:pPr>
      <w:r w:rsidRPr="00900D1D">
        <w:rPr>
          <w:rFonts w:ascii="David" w:hAnsi="David" w:cs="David"/>
          <w:b/>
          <w:bCs/>
          <w:sz w:val="24"/>
          <w:szCs w:val="24"/>
          <w:rtl/>
        </w:rPr>
        <w:t>קברים וקבורה – מה הם מלמדים על החברה?</w:t>
      </w:r>
    </w:p>
    <w:p w:rsidR="002712F2" w:rsidRPr="00900D1D" w:rsidRDefault="0050646E" w:rsidP="00900D1D">
      <w:pPr>
        <w:spacing w:line="360" w:lineRule="auto"/>
        <w:rPr>
          <w:rFonts w:ascii="David" w:hAnsi="David" w:cs="David"/>
          <w:sz w:val="24"/>
          <w:szCs w:val="24"/>
          <w:rtl/>
        </w:rPr>
      </w:pPr>
      <w:r w:rsidRPr="00900D1D">
        <w:rPr>
          <w:rFonts w:ascii="David" w:hAnsi="David" w:cs="David"/>
          <w:sz w:val="24"/>
          <w:szCs w:val="24"/>
          <w:rtl/>
        </w:rPr>
        <w:t xml:space="preserve">4. </w:t>
      </w:r>
      <w:r w:rsidR="002712F2" w:rsidRPr="00900D1D">
        <w:rPr>
          <w:rFonts w:ascii="David" w:hAnsi="David" w:cs="David"/>
          <w:sz w:val="24"/>
          <w:szCs w:val="24"/>
          <w:rtl/>
        </w:rPr>
        <w:t xml:space="preserve">מדוע היהודים החלו לקבור </w:t>
      </w:r>
      <w:proofErr w:type="spellStart"/>
      <w:r w:rsidR="002712F2" w:rsidRPr="00900D1D">
        <w:rPr>
          <w:rFonts w:ascii="David" w:hAnsi="David" w:cs="David"/>
          <w:sz w:val="24"/>
          <w:szCs w:val="24"/>
          <w:rtl/>
        </w:rPr>
        <w:t>בגלוסקמות</w:t>
      </w:r>
      <w:proofErr w:type="spellEnd"/>
      <w:r w:rsidR="002712F2" w:rsidRPr="00900D1D">
        <w:rPr>
          <w:rFonts w:ascii="David" w:hAnsi="David" w:cs="David"/>
          <w:sz w:val="24"/>
          <w:szCs w:val="24"/>
          <w:rtl/>
        </w:rPr>
        <w:t>?</w:t>
      </w:r>
    </w:p>
    <w:p w:rsidR="002712F2" w:rsidRPr="00900D1D" w:rsidRDefault="002712F2" w:rsidP="00900D1D">
      <w:pPr>
        <w:spacing w:line="360" w:lineRule="auto"/>
        <w:rPr>
          <w:rFonts w:ascii="David" w:hAnsi="David" w:cs="David"/>
          <w:sz w:val="24"/>
          <w:szCs w:val="24"/>
          <w:rtl/>
        </w:rPr>
      </w:pPr>
      <w:r w:rsidRPr="00900D1D">
        <w:rPr>
          <w:rFonts w:ascii="David" w:hAnsi="David" w:cs="David"/>
          <w:sz w:val="24"/>
          <w:szCs w:val="24"/>
          <w:rtl/>
        </w:rPr>
        <w:t xml:space="preserve">רגב, א', 'הקבורה </w:t>
      </w:r>
      <w:proofErr w:type="spellStart"/>
      <w:r w:rsidRPr="00900D1D">
        <w:rPr>
          <w:rFonts w:ascii="David" w:hAnsi="David" w:cs="David"/>
          <w:sz w:val="24"/>
          <w:szCs w:val="24"/>
          <w:rtl/>
        </w:rPr>
        <w:t>בגלוסקמות</w:t>
      </w:r>
      <w:proofErr w:type="spellEnd"/>
      <w:r w:rsidRPr="00900D1D">
        <w:rPr>
          <w:rFonts w:ascii="David" w:hAnsi="David" w:cs="David"/>
          <w:sz w:val="24"/>
          <w:szCs w:val="24"/>
          <w:rtl/>
        </w:rPr>
        <w:t xml:space="preserve"> והאינדיבידואליזם בחברה הירושלמית בסוף ימי בית שני', חידושים בחקר ירושלים </w:t>
      </w:r>
      <w:proofErr w:type="spellStart"/>
      <w:r w:rsidRPr="00900D1D">
        <w:rPr>
          <w:rFonts w:ascii="David" w:hAnsi="David" w:cs="David"/>
          <w:sz w:val="24"/>
          <w:szCs w:val="24"/>
          <w:rtl/>
        </w:rPr>
        <w:t>יז</w:t>
      </w:r>
      <w:proofErr w:type="spellEnd"/>
      <w:r w:rsidRPr="00900D1D">
        <w:rPr>
          <w:rFonts w:ascii="David" w:hAnsi="David" w:cs="David"/>
          <w:sz w:val="24"/>
          <w:szCs w:val="24"/>
          <w:rtl/>
        </w:rPr>
        <w:t xml:space="preserve"> (תשע"ב), עמ' 239-252.</w:t>
      </w:r>
    </w:p>
    <w:p w:rsidR="002712F2" w:rsidRPr="00900D1D" w:rsidRDefault="0050646E" w:rsidP="00900D1D">
      <w:pPr>
        <w:spacing w:line="360" w:lineRule="auto"/>
        <w:rPr>
          <w:rFonts w:ascii="David" w:hAnsi="David" w:cs="David"/>
          <w:sz w:val="24"/>
          <w:szCs w:val="24"/>
          <w:rtl/>
        </w:rPr>
      </w:pPr>
      <w:r w:rsidRPr="00900D1D">
        <w:rPr>
          <w:rFonts w:ascii="David" w:hAnsi="David" w:cs="David"/>
          <w:sz w:val="24"/>
          <w:szCs w:val="24"/>
          <w:rtl/>
        </w:rPr>
        <w:t xml:space="preserve">5. </w:t>
      </w:r>
      <w:r w:rsidR="002712F2" w:rsidRPr="00900D1D">
        <w:rPr>
          <w:rFonts w:ascii="David" w:hAnsi="David" w:cs="David"/>
          <w:sz w:val="24"/>
          <w:szCs w:val="24"/>
          <w:rtl/>
        </w:rPr>
        <w:t>קבורה משפחתית וחוץ משפחתית ביהודה בתקופה הרומית הקדומה</w:t>
      </w:r>
    </w:p>
    <w:p w:rsidR="002712F2" w:rsidRPr="00900D1D" w:rsidRDefault="002712F2" w:rsidP="00900D1D">
      <w:pPr>
        <w:spacing w:line="360" w:lineRule="auto"/>
        <w:rPr>
          <w:rFonts w:ascii="David" w:hAnsi="David" w:cs="David"/>
          <w:sz w:val="24"/>
          <w:szCs w:val="24"/>
          <w:rtl/>
        </w:rPr>
      </w:pPr>
      <w:r w:rsidRPr="00900D1D">
        <w:rPr>
          <w:rFonts w:ascii="David" w:hAnsi="David" w:cs="David"/>
          <w:sz w:val="24"/>
          <w:szCs w:val="24"/>
          <w:rtl/>
        </w:rPr>
        <w:t> רגב א', 'הקבורה המשפחתית והחוץ-משפחתית בירושלים וסביבתה בתקופת בית הורדוס', קתדרה 106 (תשס"ג), 35-60.</w:t>
      </w:r>
    </w:p>
    <w:p w:rsidR="002712F2" w:rsidRPr="00900D1D" w:rsidRDefault="0050646E" w:rsidP="00900D1D">
      <w:pPr>
        <w:spacing w:line="360" w:lineRule="auto"/>
        <w:rPr>
          <w:rFonts w:ascii="David" w:hAnsi="David" w:cs="David"/>
          <w:sz w:val="24"/>
          <w:szCs w:val="24"/>
          <w:rtl/>
        </w:rPr>
      </w:pPr>
      <w:r w:rsidRPr="00900D1D">
        <w:rPr>
          <w:rFonts w:ascii="David" w:hAnsi="David" w:cs="David"/>
          <w:sz w:val="24"/>
          <w:szCs w:val="24"/>
          <w:rtl/>
        </w:rPr>
        <w:t xml:space="preserve">6. </w:t>
      </w:r>
      <w:r w:rsidR="002712F2" w:rsidRPr="00900D1D">
        <w:rPr>
          <w:rFonts w:ascii="David" w:hAnsi="David" w:cs="David"/>
          <w:sz w:val="24"/>
          <w:szCs w:val="24"/>
          <w:rtl/>
        </w:rPr>
        <w:t>מבנה המשפחה בירושלים בתקופה הרומית הקדומה</w:t>
      </w:r>
    </w:p>
    <w:p w:rsidR="002712F2" w:rsidRPr="00900D1D" w:rsidRDefault="002712F2" w:rsidP="00900D1D">
      <w:pPr>
        <w:spacing w:line="360" w:lineRule="auto"/>
        <w:rPr>
          <w:rFonts w:ascii="David" w:hAnsi="David" w:cs="David"/>
          <w:sz w:val="24"/>
          <w:szCs w:val="24"/>
          <w:rtl/>
        </w:rPr>
      </w:pPr>
      <w:r w:rsidRPr="00900D1D">
        <w:rPr>
          <w:rFonts w:ascii="David" w:hAnsi="David" w:cs="David"/>
          <w:sz w:val="24"/>
          <w:szCs w:val="24"/>
          <w:rtl/>
        </w:rPr>
        <w:t xml:space="preserve">*רגב א', 'מבנה המשפחה בירושלים וסביבתה בתקופת בית הורדוס לאור ממצאי הקבורה', מחקרי יהודה ושומרון,  </w:t>
      </w:r>
      <w:proofErr w:type="spellStart"/>
      <w:r w:rsidRPr="00900D1D">
        <w:rPr>
          <w:rFonts w:ascii="David" w:hAnsi="David" w:cs="David"/>
          <w:sz w:val="24"/>
          <w:szCs w:val="24"/>
          <w:rtl/>
        </w:rPr>
        <w:t>יב</w:t>
      </w:r>
      <w:proofErr w:type="spellEnd"/>
      <w:r w:rsidRPr="00900D1D">
        <w:rPr>
          <w:rFonts w:ascii="David" w:hAnsi="David" w:cs="David"/>
          <w:sz w:val="24"/>
          <w:szCs w:val="24"/>
          <w:rtl/>
        </w:rPr>
        <w:t xml:space="preserve"> (תשס"ג), עמ' 97-116. [=</w:t>
      </w:r>
      <w:r w:rsidRPr="00900D1D">
        <w:rPr>
          <w:rFonts w:ascii="David" w:hAnsi="David" w:cs="David"/>
          <w:sz w:val="24"/>
          <w:szCs w:val="24"/>
        </w:rPr>
        <w:t>PEQ</w:t>
      </w:r>
      <w:r w:rsidRPr="00900D1D">
        <w:rPr>
          <w:rFonts w:ascii="David" w:hAnsi="David" w:cs="David"/>
          <w:sz w:val="24"/>
          <w:szCs w:val="24"/>
          <w:rtl/>
        </w:rPr>
        <w:t xml:space="preserve"> 136.2 (2004), </w:t>
      </w:r>
      <w:r w:rsidRPr="00900D1D">
        <w:rPr>
          <w:rFonts w:ascii="David" w:hAnsi="David" w:cs="David"/>
          <w:sz w:val="24"/>
          <w:szCs w:val="24"/>
        </w:rPr>
        <w:t>pp. 109-131</w:t>
      </w:r>
      <w:r w:rsidRPr="00900D1D">
        <w:rPr>
          <w:rFonts w:ascii="David" w:hAnsi="David" w:cs="David"/>
          <w:sz w:val="24"/>
          <w:szCs w:val="24"/>
          <w:rtl/>
        </w:rPr>
        <w:t>].</w:t>
      </w:r>
    </w:p>
    <w:p w:rsidR="002712F2" w:rsidRPr="00900D1D" w:rsidRDefault="0050646E" w:rsidP="00900D1D">
      <w:pPr>
        <w:spacing w:line="360" w:lineRule="auto"/>
        <w:jc w:val="center"/>
        <w:rPr>
          <w:rFonts w:ascii="David" w:hAnsi="David" w:cs="David"/>
          <w:b/>
          <w:bCs/>
          <w:sz w:val="24"/>
          <w:szCs w:val="24"/>
          <w:rtl/>
        </w:rPr>
      </w:pPr>
      <w:r w:rsidRPr="00900D1D">
        <w:rPr>
          <w:rFonts w:ascii="David" w:hAnsi="David" w:cs="David"/>
          <w:b/>
          <w:bCs/>
          <w:sz w:val="24"/>
          <w:szCs w:val="24"/>
          <w:rtl/>
        </w:rPr>
        <w:t>מתודולוגיה של פרשנות חברתית: מה אנחנו עושים וכיצד</w:t>
      </w:r>
      <w:r w:rsidR="00CE592A" w:rsidRPr="00900D1D">
        <w:rPr>
          <w:rFonts w:ascii="David" w:hAnsi="David" w:cs="David"/>
          <w:b/>
          <w:bCs/>
          <w:sz w:val="24"/>
          <w:szCs w:val="24"/>
          <w:rtl/>
        </w:rPr>
        <w:t xml:space="preserve"> (בקצרה)</w:t>
      </w:r>
    </w:p>
    <w:p w:rsidR="002712F2" w:rsidRPr="00900D1D" w:rsidRDefault="002712F2" w:rsidP="00900D1D">
      <w:pPr>
        <w:spacing w:line="360" w:lineRule="auto"/>
        <w:rPr>
          <w:rFonts w:ascii="David" w:hAnsi="David" w:cs="David"/>
          <w:sz w:val="24"/>
          <w:szCs w:val="24"/>
          <w:rtl/>
        </w:rPr>
      </w:pPr>
      <w:r w:rsidRPr="00900D1D">
        <w:rPr>
          <w:rFonts w:ascii="David" w:hAnsi="David" w:cs="David"/>
          <w:sz w:val="24"/>
          <w:szCs w:val="24"/>
          <w:rtl/>
        </w:rPr>
        <w:t> </w:t>
      </w:r>
      <w:r w:rsidR="0050646E" w:rsidRPr="00900D1D">
        <w:rPr>
          <w:rFonts w:ascii="David" w:hAnsi="David" w:cs="David"/>
          <w:sz w:val="24"/>
          <w:szCs w:val="24"/>
          <w:rtl/>
        </w:rPr>
        <w:t xml:space="preserve">7. </w:t>
      </w:r>
      <w:r w:rsidRPr="00900D1D">
        <w:rPr>
          <w:rFonts w:ascii="David" w:hAnsi="David" w:cs="David"/>
          <w:sz w:val="24"/>
          <w:szCs w:val="24"/>
          <w:rtl/>
        </w:rPr>
        <w:t>'ארכיאולוגיה חברתית' – מהי? גישות שונות לארכיאולוגיה חברתית</w:t>
      </w:r>
    </w:p>
    <w:p w:rsidR="002712F2" w:rsidRPr="00900D1D" w:rsidRDefault="0050646E" w:rsidP="00900D1D">
      <w:pPr>
        <w:spacing w:line="360" w:lineRule="auto"/>
        <w:rPr>
          <w:rFonts w:ascii="David" w:hAnsi="David" w:cs="David"/>
          <w:sz w:val="24"/>
          <w:szCs w:val="24"/>
          <w:rtl/>
        </w:rPr>
      </w:pPr>
      <w:r w:rsidRPr="00900D1D">
        <w:rPr>
          <w:rFonts w:ascii="David" w:hAnsi="David" w:cs="David"/>
          <w:sz w:val="24"/>
          <w:szCs w:val="24"/>
          <w:rtl/>
        </w:rPr>
        <w:t>*</w:t>
      </w:r>
      <w:proofErr w:type="spellStart"/>
      <w:r w:rsidR="002712F2" w:rsidRPr="00900D1D">
        <w:rPr>
          <w:rFonts w:ascii="David" w:hAnsi="David" w:cs="David"/>
          <w:sz w:val="24"/>
          <w:szCs w:val="24"/>
          <w:rtl/>
        </w:rPr>
        <w:t>בונימוביץ</w:t>
      </w:r>
      <w:proofErr w:type="spellEnd"/>
      <w:r w:rsidR="002712F2" w:rsidRPr="00900D1D">
        <w:rPr>
          <w:rFonts w:ascii="David" w:hAnsi="David" w:cs="David"/>
          <w:sz w:val="24"/>
          <w:szCs w:val="24"/>
          <w:rtl/>
        </w:rPr>
        <w:t xml:space="preserve"> ש', 'פרשנות תרבות וטקסט מקראי: הארכיאולוגיה המקראית בעידן הפוסט מודרני', קתדרה 100 (תשס"א), עמ' 27-46.</w:t>
      </w:r>
    </w:p>
    <w:p w:rsidR="002712F2" w:rsidRPr="00900D1D" w:rsidRDefault="0050646E" w:rsidP="00900D1D">
      <w:pPr>
        <w:spacing w:line="360" w:lineRule="auto"/>
        <w:rPr>
          <w:rFonts w:ascii="David" w:hAnsi="David" w:cs="David"/>
          <w:sz w:val="24"/>
          <w:szCs w:val="24"/>
          <w:rtl/>
        </w:rPr>
      </w:pPr>
      <w:r w:rsidRPr="00900D1D">
        <w:rPr>
          <w:rFonts w:ascii="David" w:hAnsi="David" w:cs="David"/>
          <w:sz w:val="24"/>
          <w:szCs w:val="24"/>
          <w:rtl/>
        </w:rPr>
        <w:t>*</w:t>
      </w:r>
      <w:r w:rsidR="002712F2" w:rsidRPr="00900D1D">
        <w:rPr>
          <w:rFonts w:ascii="David" w:hAnsi="David" w:cs="David"/>
          <w:sz w:val="24"/>
          <w:szCs w:val="24"/>
          <w:rtl/>
        </w:rPr>
        <w:t>רייך ר', 'הישגי הארכיאולוגיה בדור האחרון – מן התקופה ההלניסטית עד הביזנטית', קתדרה 100 (תשס"א), עמ' 183-198.</w:t>
      </w:r>
    </w:p>
    <w:p w:rsidR="002712F2" w:rsidRPr="00900D1D" w:rsidRDefault="002712F2" w:rsidP="00900D1D">
      <w:pPr>
        <w:bidi w:val="0"/>
        <w:spacing w:line="360" w:lineRule="auto"/>
        <w:rPr>
          <w:rFonts w:ascii="David" w:hAnsi="David" w:cs="David"/>
          <w:sz w:val="24"/>
          <w:szCs w:val="24"/>
          <w:rtl/>
        </w:rPr>
      </w:pPr>
      <w:r w:rsidRPr="00900D1D">
        <w:rPr>
          <w:rFonts w:ascii="David" w:hAnsi="David" w:cs="David"/>
          <w:sz w:val="24"/>
          <w:szCs w:val="24"/>
          <w:rtl/>
        </w:rPr>
        <w:lastRenderedPageBreak/>
        <w:t> **</w:t>
      </w:r>
      <w:r w:rsidRPr="00900D1D">
        <w:rPr>
          <w:rFonts w:ascii="David" w:hAnsi="David" w:cs="David"/>
          <w:sz w:val="24"/>
          <w:szCs w:val="24"/>
        </w:rPr>
        <w:t>Tilley, C., “Interpreting Material Culture”, in I.R. Hodder (ed</w:t>
      </w:r>
      <w:r w:rsidRPr="00900D1D">
        <w:rPr>
          <w:rFonts w:ascii="David" w:hAnsi="David" w:cs="David"/>
          <w:sz w:val="24"/>
          <w:szCs w:val="24"/>
          <w:rtl/>
        </w:rPr>
        <w:t>.), </w:t>
      </w:r>
      <w:r w:rsidRPr="00900D1D">
        <w:rPr>
          <w:rFonts w:ascii="David" w:hAnsi="David" w:cs="David"/>
          <w:sz w:val="24"/>
          <w:szCs w:val="24"/>
        </w:rPr>
        <w:t>The Meanings of Things</w:t>
      </w:r>
      <w:r w:rsidRPr="00900D1D">
        <w:rPr>
          <w:rFonts w:ascii="David" w:hAnsi="David" w:cs="David"/>
          <w:sz w:val="24"/>
          <w:szCs w:val="24"/>
          <w:rtl/>
        </w:rPr>
        <w:t> (</w:t>
      </w:r>
      <w:r w:rsidRPr="00900D1D">
        <w:rPr>
          <w:rFonts w:ascii="David" w:hAnsi="David" w:cs="David"/>
          <w:sz w:val="24"/>
          <w:szCs w:val="24"/>
        </w:rPr>
        <w:t>One World Archaeology 6), London 1989, pp. 185-194</w:t>
      </w:r>
      <w:r w:rsidRPr="00900D1D">
        <w:rPr>
          <w:rFonts w:ascii="David" w:hAnsi="David" w:cs="David"/>
          <w:sz w:val="24"/>
          <w:szCs w:val="24"/>
          <w:rtl/>
        </w:rPr>
        <w:t xml:space="preserve">. (בספריה, מדף פתוח: 913 </w:t>
      </w:r>
      <w:r w:rsidRPr="00900D1D">
        <w:rPr>
          <w:rFonts w:ascii="David" w:hAnsi="David" w:cs="David"/>
          <w:sz w:val="24"/>
          <w:szCs w:val="24"/>
        </w:rPr>
        <w:t>MEA 1989</w:t>
      </w:r>
      <w:r w:rsidRPr="00900D1D">
        <w:rPr>
          <w:rFonts w:ascii="David" w:hAnsi="David" w:cs="David"/>
          <w:sz w:val="24"/>
          <w:szCs w:val="24"/>
          <w:rtl/>
        </w:rPr>
        <w:t>)</w:t>
      </w:r>
    </w:p>
    <w:p w:rsidR="002712F2" w:rsidRPr="00900D1D" w:rsidRDefault="0050646E" w:rsidP="00900D1D">
      <w:pPr>
        <w:spacing w:line="360" w:lineRule="auto"/>
        <w:jc w:val="center"/>
        <w:rPr>
          <w:rFonts w:ascii="David" w:hAnsi="David" w:cs="David"/>
          <w:b/>
          <w:bCs/>
          <w:sz w:val="24"/>
          <w:szCs w:val="24"/>
          <w:rtl/>
        </w:rPr>
      </w:pPr>
      <w:r w:rsidRPr="00900D1D">
        <w:rPr>
          <w:rFonts w:ascii="David" w:hAnsi="David" w:cs="David"/>
          <w:b/>
          <w:bCs/>
          <w:sz w:val="24"/>
          <w:szCs w:val="24"/>
          <w:rtl/>
        </w:rPr>
        <w:t>אומנות  - מדיום להעברת מסרים חברתיים</w:t>
      </w:r>
    </w:p>
    <w:p w:rsidR="002712F2" w:rsidRPr="00900D1D" w:rsidRDefault="0050646E" w:rsidP="00900D1D">
      <w:pPr>
        <w:spacing w:line="360" w:lineRule="auto"/>
        <w:rPr>
          <w:rFonts w:ascii="David" w:hAnsi="David" w:cs="David"/>
          <w:sz w:val="24"/>
          <w:szCs w:val="24"/>
          <w:rtl/>
        </w:rPr>
      </w:pPr>
      <w:r w:rsidRPr="00900D1D">
        <w:rPr>
          <w:rFonts w:ascii="David" w:hAnsi="David" w:cs="David"/>
          <w:sz w:val="24"/>
          <w:szCs w:val="24"/>
          <w:rtl/>
        </w:rPr>
        <w:t xml:space="preserve">8. </w:t>
      </w:r>
      <w:r w:rsidR="002712F2" w:rsidRPr="00900D1D">
        <w:rPr>
          <w:rFonts w:ascii="David" w:hAnsi="David" w:cs="David"/>
          <w:sz w:val="24"/>
          <w:szCs w:val="24"/>
          <w:rtl/>
        </w:rPr>
        <w:t>אומנות עממית בתקופה הרומית: עיטורי גלוסקמאות ונרות כ- </w:t>
      </w:r>
      <w:r w:rsidR="002712F2" w:rsidRPr="00900D1D">
        <w:rPr>
          <w:rFonts w:ascii="David" w:hAnsi="David" w:cs="David"/>
          <w:sz w:val="24"/>
          <w:szCs w:val="24"/>
        </w:rPr>
        <w:t>style</w:t>
      </w:r>
    </w:p>
    <w:p w:rsidR="002712F2" w:rsidRPr="00900D1D" w:rsidRDefault="002712F2" w:rsidP="00900D1D">
      <w:pPr>
        <w:bidi w:val="0"/>
        <w:spacing w:line="360" w:lineRule="auto"/>
        <w:rPr>
          <w:rFonts w:ascii="David" w:hAnsi="David" w:cs="David"/>
          <w:sz w:val="24"/>
          <w:szCs w:val="24"/>
          <w:rtl/>
        </w:rPr>
      </w:pPr>
      <w:r w:rsidRPr="00900D1D">
        <w:rPr>
          <w:rFonts w:ascii="David" w:hAnsi="David" w:cs="David"/>
          <w:sz w:val="24"/>
          <w:szCs w:val="24"/>
        </w:rPr>
        <w:t>Regev, E</w:t>
      </w:r>
      <w:r w:rsidRPr="00900D1D">
        <w:rPr>
          <w:rFonts w:ascii="David" w:hAnsi="David" w:cs="David"/>
          <w:sz w:val="24"/>
          <w:szCs w:val="24"/>
          <w:rtl/>
        </w:rPr>
        <w:t>. "</w:t>
      </w:r>
      <w:r w:rsidRPr="00900D1D">
        <w:rPr>
          <w:rFonts w:ascii="David" w:hAnsi="David" w:cs="David"/>
          <w:sz w:val="24"/>
          <w:szCs w:val="24"/>
        </w:rPr>
        <w:t>Ancient Jewish Style: Why were Ossuaries and Southern Oil Lamps Decorated</w:t>
      </w:r>
      <w:r w:rsidRPr="00900D1D">
        <w:rPr>
          <w:rFonts w:ascii="David" w:hAnsi="David" w:cs="David"/>
          <w:sz w:val="24"/>
          <w:szCs w:val="24"/>
          <w:rtl/>
        </w:rPr>
        <w:t>?" </w:t>
      </w:r>
      <w:r w:rsidRPr="00900D1D">
        <w:rPr>
          <w:rFonts w:ascii="David" w:hAnsi="David" w:cs="David"/>
          <w:sz w:val="24"/>
          <w:szCs w:val="24"/>
        </w:rPr>
        <w:t>Levant</w:t>
      </w:r>
      <w:r w:rsidRPr="00900D1D">
        <w:rPr>
          <w:rFonts w:ascii="David" w:hAnsi="David" w:cs="David"/>
          <w:sz w:val="24"/>
          <w:szCs w:val="24"/>
          <w:rtl/>
        </w:rPr>
        <w:t xml:space="preserve"> 38 (2006), </w:t>
      </w:r>
      <w:r w:rsidRPr="00900D1D">
        <w:rPr>
          <w:rFonts w:ascii="David" w:hAnsi="David" w:cs="David"/>
          <w:sz w:val="24"/>
          <w:szCs w:val="24"/>
        </w:rPr>
        <w:t>pp. 171-186</w:t>
      </w:r>
      <w:r w:rsidRPr="00900D1D">
        <w:rPr>
          <w:rFonts w:ascii="David" w:hAnsi="David" w:cs="David"/>
          <w:sz w:val="24"/>
          <w:szCs w:val="24"/>
          <w:rtl/>
        </w:rPr>
        <w:t>.</w:t>
      </w:r>
    </w:p>
    <w:p w:rsidR="002712F2" w:rsidRPr="00900D1D" w:rsidRDefault="002712F2" w:rsidP="00900D1D">
      <w:pPr>
        <w:spacing w:line="360" w:lineRule="auto"/>
        <w:rPr>
          <w:rFonts w:ascii="David" w:hAnsi="David" w:cs="David"/>
          <w:sz w:val="24"/>
          <w:szCs w:val="24"/>
          <w:rtl/>
        </w:rPr>
      </w:pPr>
      <w:r w:rsidRPr="00900D1D">
        <w:rPr>
          <w:rFonts w:ascii="David" w:hAnsi="David" w:cs="David"/>
          <w:sz w:val="24"/>
          <w:szCs w:val="24"/>
          <w:rtl/>
        </w:rPr>
        <w:t> </w:t>
      </w:r>
    </w:p>
    <w:p w:rsidR="002712F2" w:rsidRPr="00900D1D" w:rsidRDefault="0050646E" w:rsidP="00900D1D">
      <w:pPr>
        <w:spacing w:line="360" w:lineRule="auto"/>
        <w:rPr>
          <w:rFonts w:ascii="David" w:hAnsi="David" w:cs="David"/>
          <w:sz w:val="24"/>
          <w:szCs w:val="24"/>
          <w:rtl/>
        </w:rPr>
      </w:pPr>
      <w:r w:rsidRPr="00900D1D">
        <w:rPr>
          <w:rFonts w:ascii="David" w:hAnsi="David" w:cs="David"/>
          <w:sz w:val="24"/>
          <w:szCs w:val="24"/>
          <w:rtl/>
        </w:rPr>
        <w:t xml:space="preserve">9. </w:t>
      </w:r>
      <w:r w:rsidR="002712F2" w:rsidRPr="00900D1D">
        <w:rPr>
          <w:rFonts w:ascii="David" w:hAnsi="David" w:cs="David"/>
          <w:sz w:val="24"/>
          <w:szCs w:val="24"/>
          <w:rtl/>
        </w:rPr>
        <w:t xml:space="preserve">סימבוליזם והאנתרופולוגיה של האומנות: משמעותם הסמלית של עיטורי </w:t>
      </w:r>
      <w:proofErr w:type="spellStart"/>
      <w:r w:rsidR="002712F2" w:rsidRPr="00900D1D">
        <w:rPr>
          <w:rFonts w:ascii="David" w:hAnsi="David" w:cs="David"/>
          <w:sz w:val="24"/>
          <w:szCs w:val="24"/>
          <w:rtl/>
        </w:rPr>
        <w:t>הגלוסקמות</w:t>
      </w:r>
      <w:proofErr w:type="spellEnd"/>
      <w:r w:rsidR="002712F2" w:rsidRPr="00900D1D">
        <w:rPr>
          <w:rFonts w:ascii="David" w:hAnsi="David" w:cs="David"/>
          <w:sz w:val="24"/>
          <w:szCs w:val="24"/>
          <w:rtl/>
        </w:rPr>
        <w:t xml:space="preserve"> והנרות</w:t>
      </w:r>
    </w:p>
    <w:p w:rsidR="002712F2" w:rsidRPr="00900D1D" w:rsidRDefault="002712F2" w:rsidP="00900D1D">
      <w:pPr>
        <w:spacing w:line="360" w:lineRule="auto"/>
        <w:rPr>
          <w:rFonts w:ascii="David" w:hAnsi="David" w:cs="David"/>
          <w:sz w:val="24"/>
          <w:szCs w:val="24"/>
          <w:rtl/>
        </w:rPr>
      </w:pPr>
      <w:r w:rsidRPr="00900D1D">
        <w:rPr>
          <w:rFonts w:ascii="David" w:hAnsi="David" w:cs="David"/>
          <w:sz w:val="24"/>
          <w:szCs w:val="24"/>
          <w:rtl/>
        </w:rPr>
        <w:t xml:space="preserve">*רגב, א', 'אומנות, סימבוליזם ומדעי החברה: על משמעותם ותפקודם של עיטורי </w:t>
      </w:r>
      <w:proofErr w:type="spellStart"/>
      <w:r w:rsidRPr="00900D1D">
        <w:rPr>
          <w:rFonts w:ascii="David" w:hAnsi="David" w:cs="David"/>
          <w:sz w:val="24"/>
          <w:szCs w:val="24"/>
          <w:rtl/>
        </w:rPr>
        <w:t>הגלוסקמות</w:t>
      </w:r>
      <w:proofErr w:type="spellEnd"/>
      <w:r w:rsidRPr="00900D1D">
        <w:rPr>
          <w:rFonts w:ascii="David" w:hAnsi="David" w:cs="David"/>
          <w:sz w:val="24"/>
          <w:szCs w:val="24"/>
          <w:rtl/>
        </w:rPr>
        <w:t xml:space="preserve"> ונרות הדרום', ירושלים וארץ-ישראל 6 (תשס"ח), עמ' 33-57.</w:t>
      </w:r>
    </w:p>
    <w:p w:rsidR="002712F2" w:rsidRPr="00900D1D" w:rsidRDefault="00CE592A" w:rsidP="00900D1D">
      <w:pPr>
        <w:spacing w:line="360" w:lineRule="auto"/>
        <w:jc w:val="center"/>
        <w:rPr>
          <w:rFonts w:ascii="David" w:hAnsi="David" w:cs="David"/>
          <w:b/>
          <w:bCs/>
          <w:sz w:val="24"/>
          <w:szCs w:val="24"/>
          <w:rtl/>
        </w:rPr>
      </w:pPr>
      <w:r w:rsidRPr="00900D1D">
        <w:rPr>
          <w:rFonts w:ascii="David" w:hAnsi="David" w:cs="David"/>
          <w:b/>
          <w:bCs/>
          <w:sz w:val="24"/>
          <w:szCs w:val="24"/>
          <w:rtl/>
        </w:rPr>
        <w:t>לפעמים גם לגויים יש תרבות חומרית מעניינת:</w:t>
      </w:r>
    </w:p>
    <w:p w:rsidR="002712F2" w:rsidRPr="00900D1D" w:rsidRDefault="00CE592A" w:rsidP="00900D1D">
      <w:pPr>
        <w:spacing w:line="360" w:lineRule="auto"/>
        <w:rPr>
          <w:rFonts w:ascii="David" w:hAnsi="David" w:cs="David"/>
          <w:sz w:val="24"/>
          <w:szCs w:val="24"/>
          <w:rtl/>
        </w:rPr>
      </w:pPr>
      <w:r w:rsidRPr="00900D1D">
        <w:rPr>
          <w:rFonts w:ascii="David" w:hAnsi="David" w:cs="David"/>
          <w:sz w:val="24"/>
          <w:szCs w:val="24"/>
          <w:rtl/>
        </w:rPr>
        <w:t xml:space="preserve">10. </w:t>
      </w:r>
      <w:r w:rsidR="002712F2" w:rsidRPr="00900D1D">
        <w:rPr>
          <w:rFonts w:ascii="David" w:hAnsi="David" w:cs="David"/>
          <w:sz w:val="24"/>
          <w:szCs w:val="24"/>
          <w:rtl/>
        </w:rPr>
        <w:t>תרבות חומרית קראמית של נכרים בגליל</w:t>
      </w:r>
      <w:r w:rsidRPr="00900D1D">
        <w:rPr>
          <w:rFonts w:ascii="David" w:hAnsi="David" w:cs="David"/>
          <w:sz w:val="24"/>
          <w:szCs w:val="24"/>
          <w:rtl/>
        </w:rPr>
        <w:t>: תל אנפה, בניאס</w:t>
      </w:r>
    </w:p>
    <w:p w:rsidR="002712F2" w:rsidRPr="00900D1D" w:rsidRDefault="002712F2" w:rsidP="00900D1D">
      <w:pPr>
        <w:spacing w:line="360" w:lineRule="auto"/>
        <w:rPr>
          <w:rFonts w:ascii="David" w:hAnsi="David" w:cs="David"/>
          <w:sz w:val="24"/>
          <w:szCs w:val="24"/>
          <w:rtl/>
        </w:rPr>
      </w:pPr>
      <w:r w:rsidRPr="00900D1D">
        <w:rPr>
          <w:rFonts w:ascii="David" w:hAnsi="David" w:cs="David"/>
          <w:sz w:val="24"/>
          <w:szCs w:val="24"/>
        </w:rPr>
        <w:t xml:space="preserve">Berlin, A. "What's for </w:t>
      </w:r>
      <w:proofErr w:type="gramStart"/>
      <w:r w:rsidRPr="00900D1D">
        <w:rPr>
          <w:rFonts w:ascii="David" w:hAnsi="David" w:cs="David"/>
          <w:sz w:val="24"/>
          <w:szCs w:val="24"/>
        </w:rPr>
        <w:t>Dinner?:</w:t>
      </w:r>
      <w:proofErr w:type="gramEnd"/>
      <w:r w:rsidRPr="00900D1D">
        <w:rPr>
          <w:rFonts w:ascii="David" w:hAnsi="David" w:cs="David"/>
          <w:sz w:val="24"/>
          <w:szCs w:val="24"/>
        </w:rPr>
        <w:t xml:space="preserve"> the</w:t>
      </w:r>
      <w:r w:rsidRPr="00900D1D">
        <w:rPr>
          <w:rFonts w:ascii="David" w:hAnsi="David" w:cs="David"/>
          <w:sz w:val="24"/>
          <w:szCs w:val="24"/>
          <w:rtl/>
        </w:rPr>
        <w:t> </w:t>
      </w:r>
      <w:r w:rsidRPr="00900D1D">
        <w:rPr>
          <w:rFonts w:ascii="David" w:hAnsi="David" w:cs="David"/>
          <w:sz w:val="24"/>
          <w:szCs w:val="24"/>
        </w:rPr>
        <w:t>Answer is in the Pot</w:t>
      </w:r>
      <w:r w:rsidRPr="00900D1D">
        <w:rPr>
          <w:rFonts w:ascii="David" w:hAnsi="David" w:cs="David"/>
          <w:sz w:val="24"/>
          <w:szCs w:val="24"/>
          <w:rtl/>
        </w:rPr>
        <w:t>." </w:t>
      </w:r>
      <w:r w:rsidRPr="00900D1D">
        <w:rPr>
          <w:rFonts w:ascii="David" w:hAnsi="David" w:cs="David"/>
          <w:sz w:val="24"/>
          <w:szCs w:val="24"/>
        </w:rPr>
        <w:t>BAR</w:t>
      </w:r>
      <w:r w:rsidRPr="00900D1D">
        <w:rPr>
          <w:rFonts w:ascii="David" w:hAnsi="David" w:cs="David"/>
          <w:sz w:val="24"/>
          <w:szCs w:val="24"/>
          <w:rtl/>
        </w:rPr>
        <w:t> 25/6 (1999) 46-55, 62.</w:t>
      </w:r>
    </w:p>
    <w:p w:rsidR="002712F2" w:rsidRPr="00900D1D" w:rsidRDefault="002712F2" w:rsidP="00900D1D">
      <w:pPr>
        <w:spacing w:line="360" w:lineRule="auto"/>
        <w:rPr>
          <w:rFonts w:ascii="David" w:hAnsi="David" w:cs="David"/>
          <w:sz w:val="24"/>
          <w:szCs w:val="24"/>
          <w:rtl/>
        </w:rPr>
      </w:pPr>
      <w:r w:rsidRPr="00900D1D">
        <w:rPr>
          <w:rFonts w:ascii="David" w:hAnsi="David" w:cs="David"/>
          <w:sz w:val="24"/>
          <w:szCs w:val="24"/>
        </w:rPr>
        <w:t xml:space="preserve">Berlin, A. The Archaeology of Ritual: The Sanctuary of Pan at </w:t>
      </w:r>
      <w:proofErr w:type="spellStart"/>
      <w:r w:rsidRPr="00900D1D">
        <w:rPr>
          <w:rFonts w:ascii="David" w:hAnsi="David" w:cs="David"/>
          <w:sz w:val="24"/>
          <w:szCs w:val="24"/>
        </w:rPr>
        <w:t>Banias</w:t>
      </w:r>
      <w:proofErr w:type="spellEnd"/>
      <w:r w:rsidRPr="00900D1D">
        <w:rPr>
          <w:rFonts w:ascii="David" w:hAnsi="David" w:cs="David"/>
          <w:sz w:val="24"/>
          <w:szCs w:val="24"/>
        </w:rPr>
        <w:t>/Caesarea Philippi</w:t>
      </w:r>
      <w:r w:rsidRPr="00900D1D">
        <w:rPr>
          <w:rFonts w:ascii="David" w:hAnsi="David" w:cs="David"/>
          <w:sz w:val="24"/>
          <w:szCs w:val="24"/>
          <w:rtl/>
        </w:rPr>
        <w:t>," </w:t>
      </w:r>
      <w:r w:rsidRPr="00900D1D">
        <w:rPr>
          <w:rFonts w:ascii="David" w:hAnsi="David" w:cs="David"/>
          <w:sz w:val="24"/>
          <w:szCs w:val="24"/>
        </w:rPr>
        <w:t>BASOR</w:t>
      </w:r>
      <w:r w:rsidRPr="00900D1D">
        <w:rPr>
          <w:rFonts w:ascii="David" w:hAnsi="David" w:cs="David"/>
          <w:sz w:val="24"/>
          <w:szCs w:val="24"/>
          <w:rtl/>
        </w:rPr>
        <w:t xml:space="preserve"> 315 (1999), </w:t>
      </w:r>
      <w:r w:rsidRPr="00900D1D">
        <w:rPr>
          <w:rFonts w:ascii="David" w:hAnsi="David" w:cs="David"/>
          <w:sz w:val="24"/>
          <w:szCs w:val="24"/>
        </w:rPr>
        <w:t>pp. 27-45</w:t>
      </w:r>
      <w:r w:rsidRPr="00900D1D">
        <w:rPr>
          <w:rFonts w:ascii="David" w:hAnsi="David" w:cs="David"/>
          <w:sz w:val="24"/>
          <w:szCs w:val="24"/>
          <w:rtl/>
        </w:rPr>
        <w:t>.</w:t>
      </w:r>
    </w:p>
    <w:p w:rsidR="00CE592A" w:rsidRPr="00900D1D" w:rsidRDefault="00CE592A" w:rsidP="00900D1D">
      <w:pPr>
        <w:spacing w:line="360" w:lineRule="auto"/>
        <w:jc w:val="center"/>
        <w:rPr>
          <w:rFonts w:ascii="David" w:hAnsi="David" w:cs="David"/>
          <w:b/>
          <w:bCs/>
          <w:sz w:val="24"/>
          <w:szCs w:val="24"/>
          <w:rtl/>
        </w:rPr>
      </w:pPr>
      <w:r w:rsidRPr="00900D1D">
        <w:rPr>
          <w:rFonts w:ascii="David" w:hAnsi="David" w:cs="David"/>
          <w:b/>
          <w:bCs/>
          <w:sz w:val="24"/>
          <w:szCs w:val="24"/>
          <w:rtl/>
        </w:rPr>
        <w:t>ח' קומראן: כת או לא כת?</w:t>
      </w:r>
    </w:p>
    <w:p w:rsidR="002712F2" w:rsidRPr="00900D1D" w:rsidRDefault="00CE592A" w:rsidP="00900D1D">
      <w:pPr>
        <w:spacing w:line="360" w:lineRule="auto"/>
        <w:rPr>
          <w:rFonts w:ascii="David" w:hAnsi="David" w:cs="David"/>
          <w:sz w:val="24"/>
          <w:szCs w:val="24"/>
          <w:rtl/>
        </w:rPr>
      </w:pPr>
      <w:r w:rsidRPr="00900D1D">
        <w:rPr>
          <w:rFonts w:ascii="David" w:hAnsi="David" w:cs="David"/>
          <w:sz w:val="24"/>
          <w:szCs w:val="24"/>
          <w:rtl/>
        </w:rPr>
        <w:t xml:space="preserve">11. </w:t>
      </w:r>
      <w:r w:rsidR="002712F2" w:rsidRPr="00900D1D">
        <w:rPr>
          <w:rFonts w:ascii="David" w:hAnsi="David" w:cs="David"/>
          <w:sz w:val="24"/>
          <w:szCs w:val="24"/>
          <w:rtl/>
        </w:rPr>
        <w:t>ארכיאולוגיה חברתית של ח' קומראן (מי גר שם?): התנגדות, ריטואל, ניתוח מרחבי, ומגדר</w:t>
      </w:r>
      <w:r w:rsidRPr="00900D1D">
        <w:rPr>
          <w:rFonts w:ascii="David" w:hAnsi="David" w:cs="David"/>
          <w:sz w:val="24"/>
          <w:szCs w:val="24"/>
          <w:rtl/>
        </w:rPr>
        <w:t>.</w:t>
      </w:r>
    </w:p>
    <w:p w:rsidR="002712F2" w:rsidRPr="00900D1D" w:rsidRDefault="002712F2" w:rsidP="00900D1D">
      <w:pPr>
        <w:spacing w:line="360" w:lineRule="auto"/>
        <w:rPr>
          <w:rFonts w:ascii="David" w:hAnsi="David" w:cs="David"/>
          <w:sz w:val="24"/>
          <w:szCs w:val="24"/>
          <w:rtl/>
        </w:rPr>
      </w:pPr>
      <w:r w:rsidRPr="00900D1D">
        <w:rPr>
          <w:rFonts w:ascii="David" w:hAnsi="David" w:cs="David"/>
          <w:sz w:val="24"/>
          <w:szCs w:val="24"/>
          <w:rtl/>
        </w:rPr>
        <w:t xml:space="preserve"> *'כמה כתות  מנתה עדת קומראן? על ההבדלים בין </w:t>
      </w:r>
      <w:proofErr w:type="spellStart"/>
      <w:r w:rsidRPr="00900D1D">
        <w:rPr>
          <w:rFonts w:ascii="David" w:hAnsi="David" w:cs="David"/>
          <w:sz w:val="24"/>
          <w:szCs w:val="24"/>
          <w:rtl/>
        </w:rPr>
        <w:t>היחד</w:t>
      </w:r>
      <w:proofErr w:type="spellEnd"/>
      <w:r w:rsidRPr="00900D1D">
        <w:rPr>
          <w:rFonts w:ascii="David" w:hAnsi="David" w:cs="David"/>
          <w:sz w:val="24"/>
          <w:szCs w:val="24"/>
          <w:rtl/>
        </w:rPr>
        <w:t>, ברית דמשק, האיסיים וחורבת קומראן', קתדרה 148 (תשע"ג), עמ' 7-40 (על הארכיאולוגיה: עמ' 26-38).</w:t>
      </w:r>
    </w:p>
    <w:p w:rsidR="002712F2" w:rsidRPr="00900D1D" w:rsidRDefault="002712F2" w:rsidP="00900D1D">
      <w:pPr>
        <w:bidi w:val="0"/>
        <w:spacing w:line="360" w:lineRule="auto"/>
        <w:rPr>
          <w:rFonts w:ascii="David" w:hAnsi="David" w:cs="David"/>
          <w:sz w:val="24"/>
          <w:szCs w:val="24"/>
          <w:rtl/>
        </w:rPr>
      </w:pPr>
      <w:r w:rsidRPr="00900D1D">
        <w:rPr>
          <w:rFonts w:ascii="David" w:hAnsi="David" w:cs="David"/>
          <w:sz w:val="24"/>
          <w:szCs w:val="24"/>
        </w:rPr>
        <w:t>Regev, E</w:t>
      </w:r>
      <w:r w:rsidRPr="00900D1D">
        <w:rPr>
          <w:rFonts w:ascii="David" w:hAnsi="David" w:cs="David"/>
          <w:sz w:val="24"/>
          <w:szCs w:val="24"/>
          <w:rtl/>
        </w:rPr>
        <w:t>. "</w:t>
      </w:r>
      <w:r w:rsidRPr="00900D1D">
        <w:rPr>
          <w:rFonts w:ascii="David" w:hAnsi="David" w:cs="David"/>
          <w:sz w:val="24"/>
          <w:szCs w:val="24"/>
        </w:rPr>
        <w:t xml:space="preserve">The Archaeology of Sectarianism: Ritual, Resistance and Hierarchy in </w:t>
      </w:r>
      <w:proofErr w:type="spellStart"/>
      <w:r w:rsidRPr="00900D1D">
        <w:rPr>
          <w:rFonts w:ascii="David" w:hAnsi="David" w:cs="David"/>
          <w:sz w:val="24"/>
          <w:szCs w:val="24"/>
        </w:rPr>
        <w:t>Kh</w:t>
      </w:r>
      <w:proofErr w:type="spellEnd"/>
      <w:r w:rsidRPr="00900D1D">
        <w:rPr>
          <w:rFonts w:ascii="David" w:hAnsi="David" w:cs="David"/>
          <w:sz w:val="24"/>
          <w:szCs w:val="24"/>
        </w:rPr>
        <w:t>. Qumran</w:t>
      </w:r>
      <w:r w:rsidRPr="00900D1D">
        <w:rPr>
          <w:rFonts w:ascii="David" w:hAnsi="David" w:cs="David"/>
          <w:sz w:val="24"/>
          <w:szCs w:val="24"/>
          <w:rtl/>
        </w:rPr>
        <w:t>," </w:t>
      </w:r>
      <w:r w:rsidRPr="00900D1D">
        <w:rPr>
          <w:rFonts w:ascii="David" w:hAnsi="David" w:cs="David"/>
          <w:sz w:val="24"/>
          <w:szCs w:val="24"/>
        </w:rPr>
        <w:t>Revue de Qumran</w:t>
      </w:r>
      <w:r w:rsidRPr="00900D1D">
        <w:rPr>
          <w:rFonts w:ascii="David" w:hAnsi="David" w:cs="David"/>
          <w:sz w:val="24"/>
          <w:szCs w:val="24"/>
          <w:rtl/>
        </w:rPr>
        <w:t xml:space="preserve"> 24/94 (2009), </w:t>
      </w:r>
      <w:r w:rsidRPr="00900D1D">
        <w:rPr>
          <w:rFonts w:ascii="David" w:hAnsi="David" w:cs="David"/>
          <w:sz w:val="24"/>
          <w:szCs w:val="24"/>
        </w:rPr>
        <w:t>pp. 175-214</w:t>
      </w:r>
      <w:r w:rsidRPr="00900D1D">
        <w:rPr>
          <w:rFonts w:ascii="David" w:hAnsi="David" w:cs="David"/>
          <w:sz w:val="24"/>
          <w:szCs w:val="24"/>
          <w:rtl/>
        </w:rPr>
        <w:t>.</w:t>
      </w:r>
    </w:p>
    <w:p w:rsidR="002712F2" w:rsidRPr="00900D1D" w:rsidRDefault="002712F2" w:rsidP="00900D1D">
      <w:pPr>
        <w:bidi w:val="0"/>
        <w:spacing w:line="360" w:lineRule="auto"/>
        <w:rPr>
          <w:rFonts w:ascii="David" w:hAnsi="David" w:cs="David"/>
          <w:sz w:val="24"/>
          <w:szCs w:val="24"/>
          <w:rtl/>
        </w:rPr>
      </w:pPr>
      <w:r w:rsidRPr="00900D1D">
        <w:rPr>
          <w:rFonts w:ascii="David" w:hAnsi="David" w:cs="David"/>
          <w:sz w:val="24"/>
          <w:szCs w:val="24"/>
          <w:rtl/>
        </w:rPr>
        <w:t> </w:t>
      </w:r>
      <w:r w:rsidRPr="00900D1D">
        <w:rPr>
          <w:rFonts w:ascii="David" w:hAnsi="David" w:cs="David"/>
          <w:sz w:val="24"/>
          <w:szCs w:val="24"/>
        </w:rPr>
        <w:t>Regev, E</w:t>
      </w:r>
      <w:r w:rsidRPr="00900D1D">
        <w:rPr>
          <w:rFonts w:ascii="David" w:hAnsi="David" w:cs="David"/>
          <w:sz w:val="24"/>
          <w:szCs w:val="24"/>
          <w:rtl/>
        </w:rPr>
        <w:t>. </w:t>
      </w:r>
      <w:r w:rsidRPr="00900D1D">
        <w:rPr>
          <w:rFonts w:ascii="David" w:hAnsi="David" w:cs="David"/>
          <w:sz w:val="24"/>
          <w:szCs w:val="24"/>
        </w:rPr>
        <w:t xml:space="preserve">Access Analysis of </w:t>
      </w:r>
      <w:proofErr w:type="spellStart"/>
      <w:r w:rsidRPr="00900D1D">
        <w:rPr>
          <w:rFonts w:ascii="David" w:hAnsi="David" w:cs="David"/>
          <w:sz w:val="24"/>
          <w:szCs w:val="24"/>
        </w:rPr>
        <w:t>Kh</w:t>
      </w:r>
      <w:proofErr w:type="spellEnd"/>
      <w:r w:rsidRPr="00900D1D">
        <w:rPr>
          <w:rFonts w:ascii="David" w:hAnsi="David" w:cs="David"/>
          <w:sz w:val="24"/>
          <w:szCs w:val="24"/>
        </w:rPr>
        <w:t>. Qumran: Reading Spatial Organization and Social Boundaries</w:t>
      </w:r>
      <w:r w:rsidRPr="00900D1D">
        <w:rPr>
          <w:rFonts w:ascii="David" w:hAnsi="David" w:cs="David"/>
          <w:sz w:val="24"/>
          <w:szCs w:val="24"/>
          <w:rtl/>
        </w:rPr>
        <w:t>," </w:t>
      </w:r>
      <w:r w:rsidRPr="00900D1D">
        <w:rPr>
          <w:rFonts w:ascii="David" w:hAnsi="David" w:cs="David"/>
          <w:sz w:val="24"/>
          <w:szCs w:val="24"/>
        </w:rPr>
        <w:t>Bulletin of the American School of Oriental Research</w:t>
      </w:r>
      <w:r w:rsidRPr="00900D1D">
        <w:rPr>
          <w:rFonts w:ascii="David" w:hAnsi="David" w:cs="David"/>
          <w:sz w:val="24"/>
          <w:szCs w:val="24"/>
          <w:rtl/>
        </w:rPr>
        <w:t xml:space="preserve"> 355 (2009), </w:t>
      </w:r>
      <w:r w:rsidRPr="00900D1D">
        <w:rPr>
          <w:rFonts w:ascii="David" w:hAnsi="David" w:cs="David"/>
          <w:sz w:val="24"/>
          <w:szCs w:val="24"/>
        </w:rPr>
        <w:t>pp. 85-99</w:t>
      </w:r>
      <w:r w:rsidRPr="00900D1D">
        <w:rPr>
          <w:rFonts w:ascii="David" w:hAnsi="David" w:cs="David"/>
          <w:sz w:val="24"/>
          <w:szCs w:val="24"/>
          <w:rtl/>
        </w:rPr>
        <w:t>.</w:t>
      </w:r>
    </w:p>
    <w:p w:rsidR="002712F2" w:rsidRPr="00900D1D" w:rsidRDefault="00CE592A" w:rsidP="00900D1D">
      <w:pPr>
        <w:spacing w:line="360" w:lineRule="auto"/>
        <w:jc w:val="center"/>
        <w:rPr>
          <w:rFonts w:ascii="David" w:hAnsi="David" w:cs="David"/>
          <w:b/>
          <w:bCs/>
          <w:sz w:val="24"/>
          <w:szCs w:val="24"/>
          <w:rtl/>
        </w:rPr>
      </w:pPr>
      <w:r w:rsidRPr="00900D1D">
        <w:rPr>
          <w:rFonts w:ascii="David" w:hAnsi="David" w:cs="David"/>
          <w:b/>
          <w:bCs/>
          <w:sz w:val="24"/>
          <w:szCs w:val="24"/>
          <w:rtl/>
        </w:rPr>
        <w:t>החשמונאים והורדוס – סודות בארמונות</w:t>
      </w:r>
    </w:p>
    <w:p w:rsidR="002712F2" w:rsidRPr="00900D1D" w:rsidRDefault="00CE592A" w:rsidP="00900D1D">
      <w:pPr>
        <w:spacing w:line="360" w:lineRule="auto"/>
        <w:jc w:val="center"/>
        <w:rPr>
          <w:rFonts w:ascii="David" w:hAnsi="David" w:cs="David"/>
          <w:b/>
          <w:bCs/>
          <w:sz w:val="24"/>
          <w:szCs w:val="24"/>
          <w:rtl/>
        </w:rPr>
      </w:pPr>
      <w:r w:rsidRPr="00900D1D">
        <w:rPr>
          <w:rFonts w:ascii="David" w:hAnsi="David" w:cs="David"/>
          <w:b/>
          <w:bCs/>
          <w:sz w:val="24"/>
          <w:szCs w:val="24"/>
          <w:rtl/>
        </w:rPr>
        <w:t>מצדה במרד -  קנאים (ו)כלים</w:t>
      </w:r>
    </w:p>
    <w:p w:rsidR="002712F2" w:rsidRPr="00900D1D" w:rsidRDefault="00CE592A" w:rsidP="00900D1D">
      <w:pPr>
        <w:spacing w:line="360" w:lineRule="auto"/>
        <w:rPr>
          <w:rFonts w:ascii="David" w:hAnsi="David" w:cs="David"/>
          <w:sz w:val="24"/>
          <w:szCs w:val="24"/>
          <w:rtl/>
        </w:rPr>
      </w:pPr>
      <w:r w:rsidRPr="00900D1D">
        <w:rPr>
          <w:rFonts w:ascii="David" w:hAnsi="David" w:cs="David"/>
          <w:sz w:val="24"/>
          <w:szCs w:val="24"/>
          <w:rtl/>
        </w:rPr>
        <w:t>1</w:t>
      </w:r>
      <w:r w:rsidR="00EA0557" w:rsidRPr="00900D1D">
        <w:rPr>
          <w:rFonts w:ascii="David" w:hAnsi="David" w:cs="David"/>
          <w:sz w:val="24"/>
          <w:szCs w:val="24"/>
          <w:rtl/>
        </w:rPr>
        <w:t>2</w:t>
      </w:r>
      <w:r w:rsidRPr="00900D1D">
        <w:rPr>
          <w:rFonts w:ascii="David" w:hAnsi="David" w:cs="David"/>
          <w:sz w:val="24"/>
          <w:szCs w:val="24"/>
          <w:rtl/>
        </w:rPr>
        <w:t xml:space="preserve">. </w:t>
      </w:r>
      <w:r w:rsidR="002712F2" w:rsidRPr="00900D1D">
        <w:rPr>
          <w:rFonts w:ascii="David" w:hAnsi="David" w:cs="David"/>
          <w:sz w:val="24"/>
          <w:szCs w:val="24"/>
          <w:rtl/>
        </w:rPr>
        <w:t>מצדה במרד – המאפיינים החברתיים והיחסים בין המורדים</w:t>
      </w:r>
    </w:p>
    <w:p w:rsidR="002712F2" w:rsidRPr="00900D1D" w:rsidRDefault="00CE592A" w:rsidP="00900D1D">
      <w:pPr>
        <w:spacing w:line="360" w:lineRule="auto"/>
        <w:rPr>
          <w:rFonts w:ascii="David" w:hAnsi="David" w:cs="David"/>
          <w:sz w:val="24"/>
          <w:szCs w:val="24"/>
          <w:rtl/>
        </w:rPr>
      </w:pPr>
      <w:r w:rsidRPr="00900D1D">
        <w:rPr>
          <w:rFonts w:ascii="David" w:hAnsi="David" w:cs="David"/>
          <w:sz w:val="24"/>
          <w:szCs w:val="24"/>
          <w:rtl/>
        </w:rPr>
        <w:t>*</w:t>
      </w:r>
      <w:r w:rsidR="002712F2" w:rsidRPr="00900D1D">
        <w:rPr>
          <w:rFonts w:ascii="David" w:hAnsi="David" w:cs="David"/>
          <w:sz w:val="24"/>
          <w:szCs w:val="24"/>
          <w:rtl/>
        </w:rPr>
        <w:t>בן תור, א', בחזרה למצדה, ירושלים תשס"ט, עמ' 73-93, 127-135.</w:t>
      </w:r>
    </w:p>
    <w:p w:rsidR="002712F2" w:rsidRPr="00900D1D" w:rsidRDefault="002712F2" w:rsidP="00900D1D">
      <w:pPr>
        <w:spacing w:line="360" w:lineRule="auto"/>
        <w:rPr>
          <w:rFonts w:ascii="David" w:hAnsi="David" w:cs="David"/>
          <w:sz w:val="24"/>
          <w:szCs w:val="24"/>
          <w:rtl/>
        </w:rPr>
      </w:pPr>
      <w:r w:rsidRPr="00900D1D">
        <w:rPr>
          <w:rFonts w:ascii="David" w:hAnsi="David" w:cs="David"/>
          <w:sz w:val="24"/>
          <w:szCs w:val="24"/>
          <w:rtl/>
        </w:rPr>
        <w:lastRenderedPageBreak/>
        <w:t>ליברמן, ת', חברת המורדים במצדה לאור הממצא הקרמי, עבודת מ"א, אוניברסיטת בר-אילן תשע"ח.</w:t>
      </w:r>
    </w:p>
    <w:p w:rsidR="002712F2" w:rsidRPr="00900D1D" w:rsidRDefault="002712F2" w:rsidP="00900D1D">
      <w:pPr>
        <w:spacing w:line="360" w:lineRule="auto"/>
        <w:rPr>
          <w:rFonts w:ascii="David" w:hAnsi="David" w:cs="David"/>
          <w:sz w:val="24"/>
          <w:szCs w:val="24"/>
          <w:rtl/>
        </w:rPr>
      </w:pPr>
      <w:r w:rsidRPr="00900D1D">
        <w:rPr>
          <w:rFonts w:ascii="David" w:hAnsi="David" w:cs="David"/>
          <w:sz w:val="24"/>
          <w:szCs w:val="24"/>
          <w:rtl/>
        </w:rPr>
        <w:t> </w:t>
      </w:r>
    </w:p>
    <w:p w:rsidR="002712F2" w:rsidRPr="00900D1D" w:rsidRDefault="00CE592A" w:rsidP="00900D1D">
      <w:pPr>
        <w:spacing w:line="360" w:lineRule="auto"/>
        <w:rPr>
          <w:rFonts w:ascii="David" w:hAnsi="David" w:cs="David"/>
          <w:sz w:val="24"/>
          <w:szCs w:val="24"/>
          <w:rtl/>
        </w:rPr>
      </w:pPr>
      <w:r w:rsidRPr="00900D1D">
        <w:rPr>
          <w:rFonts w:ascii="David" w:hAnsi="David" w:cs="David"/>
          <w:sz w:val="24"/>
          <w:szCs w:val="24"/>
          <w:rtl/>
        </w:rPr>
        <w:t>1</w:t>
      </w:r>
      <w:r w:rsidR="00EA0557" w:rsidRPr="00900D1D">
        <w:rPr>
          <w:rFonts w:ascii="David" w:hAnsi="David" w:cs="David"/>
          <w:sz w:val="24"/>
          <w:szCs w:val="24"/>
          <w:rtl/>
        </w:rPr>
        <w:t>3</w:t>
      </w:r>
      <w:r w:rsidRPr="00900D1D">
        <w:rPr>
          <w:rFonts w:ascii="David" w:hAnsi="David" w:cs="David"/>
          <w:sz w:val="24"/>
          <w:szCs w:val="24"/>
          <w:rtl/>
        </w:rPr>
        <w:t xml:space="preserve">. </w:t>
      </w:r>
      <w:r w:rsidR="002712F2" w:rsidRPr="00900D1D">
        <w:rPr>
          <w:rFonts w:ascii="David" w:hAnsi="David" w:cs="David"/>
          <w:sz w:val="24"/>
          <w:szCs w:val="24"/>
          <w:rtl/>
        </w:rPr>
        <w:t>התרבות החומרית של יהודים בתקופת המשנה והתלמוד</w:t>
      </w:r>
    </w:p>
    <w:p w:rsidR="002712F2" w:rsidRPr="00900D1D" w:rsidRDefault="002712F2" w:rsidP="00900D1D">
      <w:pPr>
        <w:spacing w:line="360" w:lineRule="auto"/>
        <w:rPr>
          <w:rFonts w:ascii="David" w:hAnsi="David" w:cs="David"/>
          <w:sz w:val="24"/>
          <w:szCs w:val="24"/>
          <w:rtl/>
        </w:rPr>
      </w:pPr>
      <w:r w:rsidRPr="00900D1D">
        <w:rPr>
          <w:rFonts w:ascii="David" w:hAnsi="David" w:cs="David"/>
          <w:sz w:val="24"/>
          <w:szCs w:val="24"/>
          <w:rtl/>
        </w:rPr>
        <w:t> </w:t>
      </w:r>
      <w:proofErr w:type="spellStart"/>
      <w:r w:rsidRPr="00900D1D">
        <w:rPr>
          <w:rFonts w:ascii="David" w:hAnsi="David" w:cs="David"/>
          <w:sz w:val="24"/>
          <w:szCs w:val="24"/>
          <w:rtl/>
        </w:rPr>
        <w:t>פאוסט</w:t>
      </w:r>
      <w:proofErr w:type="spellEnd"/>
      <w:r w:rsidRPr="00900D1D">
        <w:rPr>
          <w:rFonts w:ascii="David" w:hAnsi="David" w:cs="David"/>
          <w:sz w:val="24"/>
          <w:szCs w:val="24"/>
          <w:rtl/>
        </w:rPr>
        <w:t xml:space="preserve">, א', וברוך, א', 'בית הכנסת והקהילה היהודית הכפרית בתקופת המשנה והתלמוד : מימון הקמתם ותחזוקתם של בתי הכנסת כמנגנון </w:t>
      </w:r>
      <w:proofErr w:type="spellStart"/>
      <w:r w:rsidRPr="00900D1D">
        <w:rPr>
          <w:rFonts w:ascii="David" w:hAnsi="David" w:cs="David"/>
          <w:sz w:val="24"/>
          <w:szCs w:val="24"/>
          <w:rtl/>
        </w:rPr>
        <w:t>משווה',קתדרה</w:t>
      </w:r>
      <w:proofErr w:type="spellEnd"/>
      <w:r w:rsidRPr="00900D1D">
        <w:rPr>
          <w:rFonts w:ascii="David" w:hAnsi="David" w:cs="David"/>
          <w:sz w:val="24"/>
          <w:szCs w:val="24"/>
          <w:rtl/>
        </w:rPr>
        <w:t> 116 (תשס"ה), עמ' 66-49.</w:t>
      </w:r>
    </w:p>
    <w:p w:rsidR="002712F2" w:rsidRPr="00900D1D" w:rsidRDefault="002712F2" w:rsidP="00900D1D">
      <w:pPr>
        <w:bidi w:val="0"/>
        <w:spacing w:line="360" w:lineRule="auto"/>
        <w:rPr>
          <w:rFonts w:ascii="David" w:hAnsi="David" w:cs="David"/>
          <w:sz w:val="24"/>
          <w:szCs w:val="24"/>
          <w:rtl/>
        </w:rPr>
      </w:pPr>
      <w:r w:rsidRPr="00900D1D">
        <w:rPr>
          <w:rFonts w:ascii="David" w:hAnsi="David" w:cs="David"/>
          <w:sz w:val="24"/>
          <w:szCs w:val="24"/>
        </w:rPr>
        <w:t>Miller, S.S</w:t>
      </w:r>
      <w:r w:rsidRPr="00900D1D">
        <w:rPr>
          <w:rFonts w:ascii="David" w:hAnsi="David" w:cs="David"/>
          <w:sz w:val="24"/>
          <w:szCs w:val="24"/>
          <w:rtl/>
        </w:rPr>
        <w:t>., </w:t>
      </w:r>
      <w:r w:rsidRPr="00900D1D">
        <w:rPr>
          <w:rFonts w:ascii="David" w:hAnsi="David" w:cs="David"/>
          <w:sz w:val="24"/>
          <w:szCs w:val="24"/>
        </w:rPr>
        <w:t>At the Intersection Of Texts and Material Finds: Stepped Pools, Stone Vessels, and Ritual Purity Among the Jews of Roman Galilee</w:t>
      </w:r>
      <w:r w:rsidRPr="00900D1D">
        <w:rPr>
          <w:rFonts w:ascii="David" w:hAnsi="David" w:cs="David"/>
          <w:sz w:val="24"/>
          <w:szCs w:val="24"/>
          <w:rtl/>
        </w:rPr>
        <w:t xml:space="preserve">, </w:t>
      </w:r>
      <w:r w:rsidRPr="00900D1D">
        <w:rPr>
          <w:rFonts w:ascii="David" w:hAnsi="David" w:cs="David"/>
          <w:sz w:val="24"/>
          <w:szCs w:val="24"/>
        </w:rPr>
        <w:t>Göttingen 2015</w:t>
      </w:r>
      <w:r w:rsidRPr="00900D1D">
        <w:rPr>
          <w:rFonts w:ascii="David" w:hAnsi="David" w:cs="David"/>
          <w:sz w:val="24"/>
          <w:szCs w:val="24"/>
          <w:rtl/>
        </w:rPr>
        <w:t>.</w:t>
      </w:r>
    </w:p>
    <w:p w:rsidR="004976FC" w:rsidRPr="00900D1D" w:rsidRDefault="002712F2" w:rsidP="00900D1D">
      <w:pPr>
        <w:spacing w:line="360" w:lineRule="auto"/>
        <w:rPr>
          <w:rFonts w:ascii="David" w:hAnsi="David" w:cs="David"/>
          <w:sz w:val="24"/>
          <w:szCs w:val="24"/>
        </w:rPr>
      </w:pPr>
      <w:r w:rsidRPr="00900D1D">
        <w:rPr>
          <w:rFonts w:ascii="David" w:hAnsi="David" w:cs="David"/>
          <w:sz w:val="24"/>
          <w:szCs w:val="24"/>
          <w:rtl/>
        </w:rPr>
        <w:t> </w:t>
      </w:r>
    </w:p>
    <w:sectPr w:rsidR="004976FC" w:rsidRPr="00900D1D" w:rsidSect="005A6A19">
      <w:head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672B" w:rsidRDefault="00C6672B" w:rsidP="00CE592A">
      <w:pPr>
        <w:spacing w:after="0" w:line="240" w:lineRule="auto"/>
      </w:pPr>
      <w:r>
        <w:separator/>
      </w:r>
    </w:p>
  </w:endnote>
  <w:endnote w:type="continuationSeparator" w:id="0">
    <w:p w:rsidR="00C6672B" w:rsidRDefault="00C6672B" w:rsidP="00CE5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672B" w:rsidRDefault="00C6672B" w:rsidP="00CE592A">
      <w:pPr>
        <w:spacing w:after="0" w:line="240" w:lineRule="auto"/>
      </w:pPr>
      <w:r>
        <w:separator/>
      </w:r>
    </w:p>
  </w:footnote>
  <w:footnote w:type="continuationSeparator" w:id="0">
    <w:p w:rsidR="00C6672B" w:rsidRDefault="00C6672B" w:rsidP="00CE59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343097082"/>
      <w:docPartObj>
        <w:docPartGallery w:val="Page Numbers (Top of Page)"/>
        <w:docPartUnique/>
      </w:docPartObj>
    </w:sdtPr>
    <w:sdtEndPr>
      <w:rPr>
        <w:cs/>
      </w:rPr>
    </w:sdtEndPr>
    <w:sdtContent>
      <w:p w:rsidR="00CE592A" w:rsidRDefault="00CE592A">
        <w:pPr>
          <w:pStyle w:val="a7"/>
          <w:jc w:val="center"/>
          <w:rPr>
            <w:rtl/>
            <w:cs/>
          </w:rPr>
        </w:pPr>
        <w:r>
          <w:fldChar w:fldCharType="begin"/>
        </w:r>
        <w:r>
          <w:rPr>
            <w:rtl/>
            <w:cs/>
          </w:rPr>
          <w:instrText>PAGE   \* MERGEFORMAT</w:instrText>
        </w:r>
        <w:r>
          <w:fldChar w:fldCharType="separate"/>
        </w:r>
        <w:r w:rsidR="0029440E" w:rsidRPr="0029440E">
          <w:rPr>
            <w:noProof/>
            <w:rtl/>
            <w:lang w:val="he-IL"/>
          </w:rPr>
          <w:t>1</w:t>
        </w:r>
        <w:r>
          <w:fldChar w:fldCharType="end"/>
        </w:r>
      </w:p>
    </w:sdtContent>
  </w:sdt>
  <w:p w:rsidR="00CE592A" w:rsidRDefault="00CE592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16747"/>
    <w:multiLevelType w:val="multilevel"/>
    <w:tmpl w:val="A910357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9A4381"/>
    <w:multiLevelType w:val="multilevel"/>
    <w:tmpl w:val="F27E8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4B54CA"/>
    <w:multiLevelType w:val="multilevel"/>
    <w:tmpl w:val="2EBAFB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EE033F"/>
    <w:multiLevelType w:val="multilevel"/>
    <w:tmpl w:val="82C05F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75561D"/>
    <w:multiLevelType w:val="multilevel"/>
    <w:tmpl w:val="D4729A2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350E4A"/>
    <w:multiLevelType w:val="multilevel"/>
    <w:tmpl w:val="BB4AA48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C40E2E"/>
    <w:multiLevelType w:val="multilevel"/>
    <w:tmpl w:val="75C4863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9E78F5"/>
    <w:multiLevelType w:val="multilevel"/>
    <w:tmpl w:val="3E5012B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7D6B17"/>
    <w:multiLevelType w:val="multilevel"/>
    <w:tmpl w:val="3D94A3E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AB6D9F"/>
    <w:multiLevelType w:val="multilevel"/>
    <w:tmpl w:val="7C44A57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C65921"/>
    <w:multiLevelType w:val="multilevel"/>
    <w:tmpl w:val="FEE8B2E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1B383D"/>
    <w:multiLevelType w:val="multilevel"/>
    <w:tmpl w:val="50541EC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587690"/>
    <w:multiLevelType w:val="multilevel"/>
    <w:tmpl w:val="7160020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B66CDA"/>
    <w:multiLevelType w:val="multilevel"/>
    <w:tmpl w:val="8C9483E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80A0C00"/>
    <w:multiLevelType w:val="multilevel"/>
    <w:tmpl w:val="2578EAE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A451EAB"/>
    <w:multiLevelType w:val="multilevel"/>
    <w:tmpl w:val="7C2404F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AD711E3"/>
    <w:multiLevelType w:val="multilevel"/>
    <w:tmpl w:val="BC6AD36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EF27D7C"/>
    <w:multiLevelType w:val="multilevel"/>
    <w:tmpl w:val="C56C41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6F42F71"/>
    <w:multiLevelType w:val="multilevel"/>
    <w:tmpl w:val="6396CB4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BCD466D"/>
    <w:multiLevelType w:val="multilevel"/>
    <w:tmpl w:val="087A82F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0A76310"/>
    <w:multiLevelType w:val="multilevel"/>
    <w:tmpl w:val="61F0AF0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2653AA2"/>
    <w:multiLevelType w:val="multilevel"/>
    <w:tmpl w:val="4426E07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8A335FE"/>
    <w:multiLevelType w:val="multilevel"/>
    <w:tmpl w:val="36748F7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F271432"/>
    <w:multiLevelType w:val="multilevel"/>
    <w:tmpl w:val="D76C078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48E74B2"/>
    <w:multiLevelType w:val="multilevel"/>
    <w:tmpl w:val="395023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534501F"/>
    <w:multiLevelType w:val="multilevel"/>
    <w:tmpl w:val="E99813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A8F4034"/>
    <w:multiLevelType w:val="multilevel"/>
    <w:tmpl w:val="8946AC5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D7E413E"/>
    <w:multiLevelType w:val="multilevel"/>
    <w:tmpl w:val="5138649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EE817D5"/>
    <w:multiLevelType w:val="multilevel"/>
    <w:tmpl w:val="D64E0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4331EBD"/>
    <w:multiLevelType w:val="multilevel"/>
    <w:tmpl w:val="DC9E5C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7DA3ADD"/>
    <w:multiLevelType w:val="multilevel"/>
    <w:tmpl w:val="E72E822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CBC05AA"/>
    <w:multiLevelType w:val="multilevel"/>
    <w:tmpl w:val="F666584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9"/>
  </w:num>
  <w:num w:numId="3">
    <w:abstractNumId w:val="25"/>
  </w:num>
  <w:num w:numId="4">
    <w:abstractNumId w:val="2"/>
  </w:num>
  <w:num w:numId="5">
    <w:abstractNumId w:val="31"/>
  </w:num>
  <w:num w:numId="6">
    <w:abstractNumId w:val="13"/>
  </w:num>
  <w:num w:numId="7">
    <w:abstractNumId w:val="26"/>
  </w:num>
  <w:num w:numId="8">
    <w:abstractNumId w:val="22"/>
  </w:num>
  <w:num w:numId="9">
    <w:abstractNumId w:val="5"/>
  </w:num>
  <w:num w:numId="10">
    <w:abstractNumId w:val="16"/>
  </w:num>
  <w:num w:numId="11">
    <w:abstractNumId w:val="8"/>
  </w:num>
  <w:num w:numId="12">
    <w:abstractNumId w:val="19"/>
  </w:num>
  <w:num w:numId="13">
    <w:abstractNumId w:val="0"/>
  </w:num>
  <w:num w:numId="14">
    <w:abstractNumId w:val="14"/>
  </w:num>
  <w:num w:numId="15">
    <w:abstractNumId w:val="7"/>
  </w:num>
  <w:num w:numId="16">
    <w:abstractNumId w:val="30"/>
  </w:num>
  <w:num w:numId="17">
    <w:abstractNumId w:val="28"/>
  </w:num>
  <w:num w:numId="18">
    <w:abstractNumId w:val="3"/>
  </w:num>
  <w:num w:numId="19">
    <w:abstractNumId w:val="17"/>
  </w:num>
  <w:num w:numId="20">
    <w:abstractNumId w:val="24"/>
  </w:num>
  <w:num w:numId="21">
    <w:abstractNumId w:val="27"/>
  </w:num>
  <w:num w:numId="22">
    <w:abstractNumId w:val="21"/>
  </w:num>
  <w:num w:numId="23">
    <w:abstractNumId w:val="4"/>
  </w:num>
  <w:num w:numId="24">
    <w:abstractNumId w:val="15"/>
  </w:num>
  <w:num w:numId="25">
    <w:abstractNumId w:val="23"/>
  </w:num>
  <w:num w:numId="26">
    <w:abstractNumId w:val="20"/>
  </w:num>
  <w:num w:numId="27">
    <w:abstractNumId w:val="6"/>
  </w:num>
  <w:num w:numId="28">
    <w:abstractNumId w:val="12"/>
  </w:num>
  <w:num w:numId="29">
    <w:abstractNumId w:val="11"/>
  </w:num>
  <w:num w:numId="30">
    <w:abstractNumId w:val="18"/>
  </w:num>
  <w:num w:numId="31">
    <w:abstractNumId w:val="9"/>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12F2"/>
    <w:rsid w:val="001019A2"/>
    <w:rsid w:val="0014674A"/>
    <w:rsid w:val="002712F2"/>
    <w:rsid w:val="0029440E"/>
    <w:rsid w:val="003D2843"/>
    <w:rsid w:val="004976FC"/>
    <w:rsid w:val="005018F3"/>
    <w:rsid w:val="0050646E"/>
    <w:rsid w:val="005A6A19"/>
    <w:rsid w:val="00670E45"/>
    <w:rsid w:val="00856F93"/>
    <w:rsid w:val="00900D1D"/>
    <w:rsid w:val="00A4688E"/>
    <w:rsid w:val="00A54FE4"/>
    <w:rsid w:val="00AF2264"/>
    <w:rsid w:val="00C6672B"/>
    <w:rsid w:val="00CE592A"/>
    <w:rsid w:val="00E070B2"/>
    <w:rsid w:val="00E15D0F"/>
    <w:rsid w:val="00EA0557"/>
    <w:rsid w:val="00EA298E"/>
    <w:rsid w:val="00F05B21"/>
    <w:rsid w:val="00F47791"/>
    <w:rsid w:val="00F836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75706"/>
  <w15:docId w15:val="{903D89A9-0629-4889-BE12-EAD3E61C8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15D0F"/>
    <w:pPr>
      <w:bidi/>
    </w:pPr>
  </w:style>
  <w:style w:type="paragraph" w:styleId="1">
    <w:name w:val="heading 1"/>
    <w:basedOn w:val="a"/>
    <w:link w:val="10"/>
    <w:uiPriority w:val="9"/>
    <w:qFormat/>
    <w:rsid w:val="00E15D0F"/>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הערת שוליים"/>
    <w:basedOn w:val="a"/>
    <w:qFormat/>
    <w:rsid w:val="00E15D0F"/>
    <w:pPr>
      <w:shd w:val="clear" w:color="auto" w:fill="FFFFFF"/>
      <w:spacing w:after="0" w:line="360" w:lineRule="auto"/>
      <w:jc w:val="both"/>
    </w:pPr>
    <w:rPr>
      <w:rFonts w:cstheme="majorBidi"/>
      <w:b/>
      <w:sz w:val="20"/>
      <w:szCs w:val="20"/>
    </w:rPr>
  </w:style>
  <w:style w:type="character" w:customStyle="1" w:styleId="10">
    <w:name w:val="כותרת 1 תו"/>
    <w:basedOn w:val="a0"/>
    <w:link w:val="1"/>
    <w:uiPriority w:val="9"/>
    <w:rsid w:val="00E15D0F"/>
    <w:rPr>
      <w:rFonts w:ascii="Times New Roman" w:eastAsia="Times New Roman" w:hAnsi="Times New Roman" w:cs="Times New Roman"/>
      <w:b/>
      <w:bCs/>
      <w:kern w:val="36"/>
      <w:sz w:val="48"/>
      <w:szCs w:val="48"/>
    </w:rPr>
  </w:style>
  <w:style w:type="character" w:styleId="a4">
    <w:name w:val="Emphasis"/>
    <w:basedOn w:val="a0"/>
    <w:uiPriority w:val="20"/>
    <w:qFormat/>
    <w:rsid w:val="00E15D0F"/>
    <w:rPr>
      <w:i/>
      <w:iCs/>
    </w:rPr>
  </w:style>
  <w:style w:type="paragraph" w:styleId="a5">
    <w:name w:val="List Paragraph"/>
    <w:basedOn w:val="a"/>
    <w:uiPriority w:val="34"/>
    <w:qFormat/>
    <w:rsid w:val="00E15D0F"/>
    <w:pPr>
      <w:ind w:left="720"/>
      <w:contextualSpacing/>
    </w:pPr>
  </w:style>
  <w:style w:type="character" w:customStyle="1" w:styleId="boldtext">
    <w:name w:val="boldtext"/>
    <w:basedOn w:val="a0"/>
    <w:rsid w:val="002712F2"/>
  </w:style>
  <w:style w:type="paragraph" w:styleId="NormalWeb">
    <w:name w:val="Normal (Web)"/>
    <w:basedOn w:val="a"/>
    <w:uiPriority w:val="99"/>
    <w:semiHidden/>
    <w:unhideWhenUsed/>
    <w:rsid w:val="002712F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2712F2"/>
    <w:rPr>
      <w:b/>
      <w:bCs/>
    </w:rPr>
  </w:style>
  <w:style w:type="character" w:styleId="Hyperlink">
    <w:name w:val="Hyperlink"/>
    <w:basedOn w:val="a0"/>
    <w:uiPriority w:val="99"/>
    <w:unhideWhenUsed/>
    <w:rsid w:val="002712F2"/>
    <w:rPr>
      <w:color w:val="0000FF"/>
      <w:u w:val="single"/>
    </w:rPr>
  </w:style>
  <w:style w:type="paragraph" w:styleId="a7">
    <w:name w:val="header"/>
    <w:basedOn w:val="a"/>
    <w:link w:val="a8"/>
    <w:uiPriority w:val="99"/>
    <w:unhideWhenUsed/>
    <w:rsid w:val="00CE592A"/>
    <w:pPr>
      <w:tabs>
        <w:tab w:val="center" w:pos="4153"/>
        <w:tab w:val="right" w:pos="8306"/>
      </w:tabs>
      <w:spacing w:after="0" w:line="240" w:lineRule="auto"/>
    </w:pPr>
  </w:style>
  <w:style w:type="character" w:customStyle="1" w:styleId="a8">
    <w:name w:val="כותרת עליונה תו"/>
    <w:basedOn w:val="a0"/>
    <w:link w:val="a7"/>
    <w:uiPriority w:val="99"/>
    <w:rsid w:val="00CE592A"/>
  </w:style>
  <w:style w:type="paragraph" w:styleId="a9">
    <w:name w:val="footer"/>
    <w:basedOn w:val="a"/>
    <w:link w:val="aa"/>
    <w:uiPriority w:val="99"/>
    <w:unhideWhenUsed/>
    <w:rsid w:val="00CE592A"/>
    <w:pPr>
      <w:tabs>
        <w:tab w:val="center" w:pos="4153"/>
        <w:tab w:val="right" w:pos="8306"/>
      </w:tabs>
      <w:spacing w:after="0" w:line="240" w:lineRule="auto"/>
    </w:pPr>
  </w:style>
  <w:style w:type="character" w:customStyle="1" w:styleId="aa">
    <w:name w:val="כותרת תחתונה תו"/>
    <w:basedOn w:val="a0"/>
    <w:link w:val="a9"/>
    <w:uiPriority w:val="99"/>
    <w:rsid w:val="00CE5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235256">
      <w:bodyDiv w:val="1"/>
      <w:marLeft w:val="0"/>
      <w:marRight w:val="0"/>
      <w:marTop w:val="0"/>
      <w:marBottom w:val="0"/>
      <w:divBdr>
        <w:top w:val="none" w:sz="0" w:space="0" w:color="auto"/>
        <w:left w:val="none" w:sz="0" w:space="0" w:color="auto"/>
        <w:bottom w:val="none" w:sz="0" w:space="0" w:color="auto"/>
        <w:right w:val="none" w:sz="0" w:space="0" w:color="auto"/>
      </w:divBdr>
      <w:divsChild>
        <w:div w:id="431584699">
          <w:marLeft w:val="0"/>
          <w:marRight w:val="0"/>
          <w:marTop w:val="0"/>
          <w:marBottom w:val="0"/>
          <w:divBdr>
            <w:top w:val="none" w:sz="0" w:space="0" w:color="auto"/>
            <w:left w:val="none" w:sz="0" w:space="0" w:color="auto"/>
            <w:bottom w:val="none" w:sz="0" w:space="0" w:color="auto"/>
            <w:right w:val="none" w:sz="0" w:space="0" w:color="auto"/>
          </w:divBdr>
          <w:divsChild>
            <w:div w:id="264307099">
              <w:marLeft w:val="0"/>
              <w:marRight w:val="2400"/>
              <w:marTop w:val="0"/>
              <w:marBottom w:val="0"/>
              <w:divBdr>
                <w:top w:val="none" w:sz="0" w:space="0" w:color="auto"/>
                <w:left w:val="none" w:sz="0" w:space="0" w:color="auto"/>
                <w:bottom w:val="none" w:sz="0" w:space="0" w:color="auto"/>
                <w:right w:val="none" w:sz="0" w:space="0" w:color="auto"/>
              </w:divBdr>
              <w:divsChild>
                <w:div w:id="422728960">
                  <w:marLeft w:val="0"/>
                  <w:marRight w:val="0"/>
                  <w:marTop w:val="0"/>
                  <w:marBottom w:val="0"/>
                  <w:divBdr>
                    <w:top w:val="none" w:sz="0" w:space="0" w:color="auto"/>
                    <w:left w:val="none" w:sz="0" w:space="0" w:color="auto"/>
                    <w:bottom w:val="none" w:sz="0" w:space="0" w:color="auto"/>
                    <w:right w:val="none" w:sz="0" w:space="0" w:color="auto"/>
                  </w:divBdr>
                  <w:divsChild>
                    <w:div w:id="213277273">
                      <w:marLeft w:val="0"/>
                      <w:marRight w:val="0"/>
                      <w:marTop w:val="300"/>
                      <w:marBottom w:val="0"/>
                      <w:divBdr>
                        <w:top w:val="none" w:sz="0" w:space="0" w:color="auto"/>
                        <w:left w:val="none" w:sz="0" w:space="0" w:color="auto"/>
                        <w:bottom w:val="none" w:sz="0" w:space="0" w:color="auto"/>
                        <w:right w:val="none" w:sz="0" w:space="0" w:color="auto"/>
                      </w:divBdr>
                      <w:divsChild>
                        <w:div w:id="1769891594">
                          <w:marLeft w:val="0"/>
                          <w:marRight w:val="0"/>
                          <w:marTop w:val="0"/>
                          <w:marBottom w:val="0"/>
                          <w:divBdr>
                            <w:top w:val="none" w:sz="0" w:space="0" w:color="auto"/>
                            <w:left w:val="none" w:sz="0" w:space="0" w:color="auto"/>
                            <w:bottom w:val="none" w:sz="0" w:space="0" w:color="auto"/>
                            <w:right w:val="none" w:sz="0" w:space="0" w:color="auto"/>
                          </w:divBdr>
                          <w:divsChild>
                            <w:div w:id="1629630829">
                              <w:marLeft w:val="0"/>
                              <w:marRight w:val="0"/>
                              <w:marTop w:val="0"/>
                              <w:marBottom w:val="300"/>
                              <w:divBdr>
                                <w:top w:val="none" w:sz="0" w:space="0" w:color="auto"/>
                                <w:left w:val="none" w:sz="0" w:space="0" w:color="auto"/>
                                <w:bottom w:val="none" w:sz="0" w:space="0" w:color="auto"/>
                                <w:right w:val="none" w:sz="0" w:space="0" w:color="auto"/>
                              </w:divBdr>
                            </w:div>
                            <w:div w:id="98181835">
                              <w:marLeft w:val="0"/>
                              <w:marRight w:val="0"/>
                              <w:marTop w:val="0"/>
                              <w:marBottom w:val="0"/>
                              <w:divBdr>
                                <w:top w:val="none" w:sz="0" w:space="0" w:color="auto"/>
                                <w:left w:val="none" w:sz="0" w:space="0" w:color="auto"/>
                                <w:bottom w:val="none" w:sz="0" w:space="0" w:color="auto"/>
                                <w:right w:val="none" w:sz="0" w:space="0" w:color="auto"/>
                              </w:divBdr>
                              <w:divsChild>
                                <w:div w:id="1046177569">
                                  <w:marLeft w:val="0"/>
                                  <w:marRight w:val="0"/>
                                  <w:marTop w:val="0"/>
                                  <w:marBottom w:val="0"/>
                                  <w:divBdr>
                                    <w:top w:val="none" w:sz="0" w:space="0" w:color="auto"/>
                                    <w:left w:val="none" w:sz="0" w:space="0" w:color="auto"/>
                                    <w:bottom w:val="none" w:sz="0" w:space="0" w:color="auto"/>
                                    <w:right w:val="none" w:sz="0" w:space="0" w:color="auto"/>
                                  </w:divBdr>
                                </w:div>
                                <w:div w:id="192807706">
                                  <w:marLeft w:val="0"/>
                                  <w:marRight w:val="0"/>
                                  <w:marTop w:val="0"/>
                                  <w:marBottom w:val="0"/>
                                  <w:divBdr>
                                    <w:top w:val="none" w:sz="0" w:space="0" w:color="auto"/>
                                    <w:left w:val="none" w:sz="0" w:space="0" w:color="auto"/>
                                    <w:bottom w:val="none" w:sz="0" w:space="0" w:color="auto"/>
                                    <w:right w:val="none" w:sz="0" w:space="0" w:color="auto"/>
                                  </w:divBdr>
                                </w:div>
                                <w:div w:id="42682195">
                                  <w:marLeft w:val="0"/>
                                  <w:marRight w:val="0"/>
                                  <w:marTop w:val="0"/>
                                  <w:marBottom w:val="0"/>
                                  <w:divBdr>
                                    <w:top w:val="none" w:sz="0" w:space="0" w:color="auto"/>
                                    <w:left w:val="none" w:sz="0" w:space="0" w:color="auto"/>
                                    <w:bottom w:val="none" w:sz="0" w:space="0" w:color="auto"/>
                                    <w:right w:val="none" w:sz="0" w:space="0" w:color="auto"/>
                                  </w:divBdr>
                                </w:div>
                                <w:div w:id="1373534273">
                                  <w:marLeft w:val="0"/>
                                  <w:marRight w:val="0"/>
                                  <w:marTop w:val="0"/>
                                  <w:marBottom w:val="0"/>
                                  <w:divBdr>
                                    <w:top w:val="none" w:sz="0" w:space="0" w:color="auto"/>
                                    <w:left w:val="none" w:sz="0" w:space="0" w:color="auto"/>
                                    <w:bottom w:val="none" w:sz="0" w:space="0" w:color="auto"/>
                                    <w:right w:val="none" w:sz="0" w:space="0" w:color="auto"/>
                                  </w:divBdr>
                                </w:div>
                                <w:div w:id="1940528930">
                                  <w:marLeft w:val="0"/>
                                  <w:marRight w:val="0"/>
                                  <w:marTop w:val="0"/>
                                  <w:marBottom w:val="0"/>
                                  <w:divBdr>
                                    <w:top w:val="none" w:sz="0" w:space="0" w:color="auto"/>
                                    <w:left w:val="none" w:sz="0" w:space="0" w:color="auto"/>
                                    <w:bottom w:val="none" w:sz="0" w:space="0" w:color="auto"/>
                                    <w:right w:val="none" w:sz="0" w:space="0" w:color="auto"/>
                                  </w:divBdr>
                                </w:div>
                                <w:div w:id="1516532569">
                                  <w:marLeft w:val="0"/>
                                  <w:marRight w:val="0"/>
                                  <w:marTop w:val="0"/>
                                  <w:marBottom w:val="0"/>
                                  <w:divBdr>
                                    <w:top w:val="none" w:sz="0" w:space="0" w:color="auto"/>
                                    <w:left w:val="none" w:sz="0" w:space="0" w:color="auto"/>
                                    <w:bottom w:val="none" w:sz="0" w:space="0" w:color="auto"/>
                                    <w:right w:val="none" w:sz="0" w:space="0" w:color="auto"/>
                                  </w:divBdr>
                                </w:div>
                                <w:div w:id="1001933981">
                                  <w:marLeft w:val="0"/>
                                  <w:marRight w:val="0"/>
                                  <w:marTop w:val="0"/>
                                  <w:marBottom w:val="0"/>
                                  <w:divBdr>
                                    <w:top w:val="none" w:sz="0" w:space="0" w:color="auto"/>
                                    <w:left w:val="none" w:sz="0" w:space="0" w:color="auto"/>
                                    <w:bottom w:val="none" w:sz="0" w:space="0" w:color="auto"/>
                                    <w:right w:val="none" w:sz="0" w:space="0" w:color="auto"/>
                                  </w:divBdr>
                                </w:div>
                                <w:div w:id="1341590842">
                                  <w:marLeft w:val="0"/>
                                  <w:marRight w:val="0"/>
                                  <w:marTop w:val="0"/>
                                  <w:marBottom w:val="0"/>
                                  <w:divBdr>
                                    <w:top w:val="none" w:sz="0" w:space="0" w:color="auto"/>
                                    <w:left w:val="none" w:sz="0" w:space="0" w:color="auto"/>
                                    <w:bottom w:val="none" w:sz="0" w:space="0" w:color="auto"/>
                                    <w:right w:val="none" w:sz="0" w:space="0" w:color="auto"/>
                                  </w:divBdr>
                                </w:div>
                                <w:div w:id="1707483462">
                                  <w:marLeft w:val="0"/>
                                  <w:marRight w:val="0"/>
                                  <w:marTop w:val="0"/>
                                  <w:marBottom w:val="0"/>
                                  <w:divBdr>
                                    <w:top w:val="none" w:sz="0" w:space="0" w:color="auto"/>
                                    <w:left w:val="none" w:sz="0" w:space="0" w:color="auto"/>
                                    <w:bottom w:val="none" w:sz="0" w:space="0" w:color="auto"/>
                                    <w:right w:val="none" w:sz="0" w:space="0" w:color="auto"/>
                                  </w:divBdr>
                                </w:div>
                                <w:div w:id="829516869">
                                  <w:marLeft w:val="0"/>
                                  <w:marRight w:val="0"/>
                                  <w:marTop w:val="0"/>
                                  <w:marBottom w:val="0"/>
                                  <w:divBdr>
                                    <w:top w:val="none" w:sz="0" w:space="0" w:color="auto"/>
                                    <w:left w:val="none" w:sz="0" w:space="0" w:color="auto"/>
                                    <w:bottom w:val="none" w:sz="0" w:space="0" w:color="auto"/>
                                    <w:right w:val="none" w:sz="0" w:space="0" w:color="auto"/>
                                  </w:divBdr>
                                </w:div>
                                <w:div w:id="1187409147">
                                  <w:marLeft w:val="0"/>
                                  <w:marRight w:val="0"/>
                                  <w:marTop w:val="0"/>
                                  <w:marBottom w:val="0"/>
                                  <w:divBdr>
                                    <w:top w:val="none" w:sz="0" w:space="0" w:color="auto"/>
                                    <w:left w:val="none" w:sz="0" w:space="0" w:color="auto"/>
                                    <w:bottom w:val="none" w:sz="0" w:space="0" w:color="auto"/>
                                    <w:right w:val="none" w:sz="0" w:space="0" w:color="auto"/>
                                  </w:divBdr>
                                </w:div>
                                <w:div w:id="175200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353925">
          <w:marLeft w:val="0"/>
          <w:marRight w:val="0"/>
          <w:marTop w:val="0"/>
          <w:marBottom w:val="0"/>
          <w:divBdr>
            <w:top w:val="none" w:sz="0" w:space="0" w:color="auto"/>
            <w:left w:val="none" w:sz="0" w:space="0" w:color="auto"/>
            <w:bottom w:val="none" w:sz="0" w:space="0" w:color="auto"/>
            <w:right w:val="none" w:sz="0" w:space="0" w:color="auto"/>
          </w:divBdr>
          <w:divsChild>
            <w:div w:id="991101357">
              <w:marLeft w:val="0"/>
              <w:marRight w:val="0"/>
              <w:marTop w:val="0"/>
              <w:marBottom w:val="0"/>
              <w:divBdr>
                <w:top w:val="none" w:sz="0" w:space="0" w:color="auto"/>
                <w:left w:val="none" w:sz="0" w:space="0" w:color="auto"/>
                <w:bottom w:val="none" w:sz="0" w:space="0" w:color="auto"/>
                <w:right w:val="none" w:sz="0" w:space="0" w:color="auto"/>
              </w:divBdr>
            </w:div>
            <w:div w:id="245462269">
              <w:marLeft w:val="0"/>
              <w:marRight w:val="0"/>
              <w:marTop w:val="0"/>
              <w:marBottom w:val="0"/>
              <w:divBdr>
                <w:top w:val="none" w:sz="0" w:space="0" w:color="auto"/>
                <w:left w:val="none" w:sz="0" w:space="0" w:color="auto"/>
                <w:bottom w:val="none" w:sz="0" w:space="0" w:color="auto"/>
                <w:right w:val="none" w:sz="0" w:space="0" w:color="auto"/>
              </w:divBdr>
              <w:divsChild>
                <w:div w:id="167707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ademia.edu/381512/_Jewish_Life_Before_the_Revolt_The_Archaeological_Evidence_Journal_for_the_Study_of_Judaism_36.4_2005_pp._417-7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cademia.edu/11293238/Gamla._Final_Reports_vol._I._The_Pottery_of_the_Second_Temple_Period._Israel_Antiquities_Authority_Reports_no._29._Israel_Antiquities_Authority_Jerusalem._2006"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E4B12-10F9-405F-A743-A7A26358B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915</Words>
  <Characters>4580</Characters>
  <Application>Microsoft Office Word</Application>
  <DocSecurity>0</DocSecurity>
  <Lines>38</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לימודי ארץ-ישראל</cp:lastModifiedBy>
  <cp:revision>4</cp:revision>
  <dcterms:created xsi:type="dcterms:W3CDTF">2020-05-19T11:39:00Z</dcterms:created>
  <dcterms:modified xsi:type="dcterms:W3CDTF">2020-05-19T11:50:00Z</dcterms:modified>
</cp:coreProperties>
</file>