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5E7" w:rsidRPr="008F60DD" w:rsidRDefault="009D45E7" w:rsidP="009D45E7">
      <w:pPr>
        <w:spacing w:line="360" w:lineRule="auto"/>
        <w:ind w:left="5040"/>
        <w:rPr>
          <w:rFonts w:ascii="Arial" w:hAnsi="Arial" w:cs="Tahoma"/>
          <w:bCs/>
          <w:rtl/>
        </w:rPr>
      </w:pPr>
      <w:r w:rsidRPr="008F60DD">
        <w:rPr>
          <w:rFonts w:ascii="Arial" w:hAnsi="Arial" w:cs="Tahoma"/>
          <w:bCs/>
          <w:rtl/>
        </w:rPr>
        <w:t>תאריך</w:t>
      </w:r>
      <w:r w:rsidRPr="008F60DD">
        <w:rPr>
          <w:rFonts w:ascii="Arial" w:hAnsi="Arial" w:cs="Tahoma" w:hint="cs"/>
          <w:bCs/>
          <w:rtl/>
        </w:rPr>
        <w:t>: 23/3/18</w:t>
      </w:r>
    </w:p>
    <w:p w:rsidR="009D45E7" w:rsidRPr="008F60DD" w:rsidRDefault="009D45E7" w:rsidP="009D45E7">
      <w:pPr>
        <w:spacing w:line="360" w:lineRule="auto"/>
        <w:ind w:left="5040"/>
        <w:rPr>
          <w:rFonts w:ascii="Arial" w:hAnsi="Arial" w:cs="Tahoma"/>
          <w:bCs/>
          <w:sz w:val="36"/>
          <w:szCs w:val="36"/>
          <w:rtl/>
        </w:rPr>
      </w:pPr>
    </w:p>
    <w:p w:rsidR="00E02FFA" w:rsidRDefault="009D45E7" w:rsidP="00BA7624">
      <w:pPr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  <w:r w:rsidRPr="008F60DD">
        <w:rPr>
          <w:rFonts w:ascii="Arial" w:hAnsi="Arial" w:cs="Tahoma"/>
          <w:bCs/>
          <w:sz w:val="36"/>
          <w:szCs w:val="36"/>
          <w:rtl/>
        </w:rPr>
        <w:t xml:space="preserve">שם ומספר הקורס:  </w:t>
      </w:r>
      <w:r w:rsidRPr="008F60DD">
        <w:rPr>
          <w:rFonts w:ascii="Arial" w:hAnsi="Arial" w:cs="Tahoma" w:hint="cs"/>
          <w:bCs/>
          <w:sz w:val="36"/>
          <w:szCs w:val="36"/>
          <w:rtl/>
        </w:rPr>
        <w:t xml:space="preserve">בעיות הביטחון של ישראל בעשור הראשון </w:t>
      </w:r>
    </w:p>
    <w:p w:rsidR="009D45E7" w:rsidRPr="008F60DD" w:rsidRDefault="009D45E7" w:rsidP="00BA7624">
      <w:pPr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  <w:r w:rsidRPr="008F60DD">
        <w:rPr>
          <w:rFonts w:ascii="Arial" w:hAnsi="Arial" w:cs="Tahoma" w:hint="cs"/>
          <w:bCs/>
          <w:sz w:val="36"/>
          <w:szCs w:val="36"/>
          <w:rtl/>
        </w:rPr>
        <w:t xml:space="preserve"> </w:t>
      </w:r>
      <w:r w:rsidR="00BA7624" w:rsidRPr="008F60DD">
        <w:rPr>
          <w:rFonts w:ascii="Arial" w:hAnsi="Arial" w:cs="Tahoma" w:hint="cs"/>
          <w:bCs/>
          <w:sz w:val="36"/>
          <w:szCs w:val="36"/>
          <w:rtl/>
        </w:rPr>
        <w:t>16-873-01</w:t>
      </w:r>
    </w:p>
    <w:p w:rsidR="009D45E7" w:rsidRPr="008F60DD" w:rsidRDefault="009D45E7" w:rsidP="009D45E7">
      <w:pPr>
        <w:spacing w:line="360" w:lineRule="auto"/>
        <w:jc w:val="center"/>
        <w:rPr>
          <w:rFonts w:ascii="Arial" w:hAnsi="Arial" w:cs="Tahoma"/>
          <w:b/>
          <w:bCs/>
          <w:sz w:val="28"/>
          <w:szCs w:val="28"/>
          <w:rtl/>
        </w:rPr>
      </w:pPr>
      <w:r w:rsidRPr="008F60DD">
        <w:rPr>
          <w:rFonts w:ascii="Arial" w:hAnsi="Arial" w:cs="Tahoma"/>
          <w:bCs/>
          <w:sz w:val="36"/>
          <w:szCs w:val="28"/>
          <w:rtl/>
        </w:rPr>
        <w:t>שם המרצה:</w:t>
      </w:r>
      <w:r w:rsidRPr="008F60DD">
        <w:rPr>
          <w:rFonts w:ascii="Arial" w:hAnsi="Arial" w:cs="Tahoma" w:hint="cs"/>
          <w:szCs w:val="20"/>
          <w:rtl/>
        </w:rPr>
        <w:t xml:space="preserve"> </w:t>
      </w:r>
      <w:r w:rsidRPr="008F60DD">
        <w:rPr>
          <w:rFonts w:ascii="Arial" w:hAnsi="Arial" w:cs="Tahoma" w:hint="cs"/>
          <w:b/>
          <w:bCs/>
          <w:sz w:val="28"/>
          <w:szCs w:val="28"/>
          <w:rtl/>
        </w:rPr>
        <w:t>ד"ר גד קרויזר</w:t>
      </w:r>
    </w:p>
    <w:p w:rsidR="009D45E7" w:rsidRPr="008F60DD" w:rsidRDefault="009D45E7" w:rsidP="009D45E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8F60DD">
        <w:rPr>
          <w:rFonts w:ascii="Arial" w:hAnsi="Arial" w:cs="Arial"/>
          <w:b/>
          <w:bCs/>
          <w:rtl/>
        </w:rPr>
        <w:t>סוג הקורס:</w:t>
      </w:r>
      <w:r w:rsidRPr="008F60DD">
        <w:rPr>
          <w:rFonts w:ascii="Arial" w:hAnsi="Arial" w:cs="Arial"/>
          <w:rtl/>
        </w:rPr>
        <w:t xml:space="preserve"> </w:t>
      </w:r>
      <w:r w:rsidRPr="008F60DD">
        <w:rPr>
          <w:rFonts w:ascii="Arial" w:hAnsi="Arial" w:cs="Arial"/>
          <w:b/>
          <w:bCs/>
          <w:sz w:val="28"/>
          <w:szCs w:val="28"/>
          <w:rtl/>
        </w:rPr>
        <w:t>סמינר</w:t>
      </w:r>
    </w:p>
    <w:p w:rsidR="009D45E7" w:rsidRPr="008F60DD" w:rsidRDefault="009D45E7" w:rsidP="000C2BA0">
      <w:pPr>
        <w:spacing w:line="360" w:lineRule="auto"/>
        <w:rPr>
          <w:rFonts w:ascii="Arial" w:hAnsi="Arial" w:cs="Arial"/>
          <w:rtl/>
        </w:rPr>
      </w:pPr>
      <w:r w:rsidRPr="008F60DD">
        <w:rPr>
          <w:rFonts w:ascii="Arial" w:hAnsi="Arial" w:cs="Arial"/>
          <w:b/>
          <w:bCs/>
          <w:rtl/>
        </w:rPr>
        <w:t>שנת לימודים</w:t>
      </w:r>
      <w:r w:rsidRPr="008F60DD">
        <w:rPr>
          <w:rFonts w:ascii="Arial" w:hAnsi="Arial" w:cs="Arial"/>
          <w:rtl/>
        </w:rPr>
        <w:t xml:space="preserve">: </w:t>
      </w:r>
      <w:r w:rsidRPr="008F60DD">
        <w:rPr>
          <w:rFonts w:ascii="Arial" w:hAnsi="Arial" w:cs="Arial" w:hint="cs"/>
          <w:rtl/>
        </w:rPr>
        <w:t>תשע"ט</w:t>
      </w:r>
      <w:r w:rsidRPr="008F60DD">
        <w:rPr>
          <w:rFonts w:ascii="Arial" w:hAnsi="Arial" w:cs="Arial"/>
          <w:rtl/>
        </w:rPr>
        <w:t xml:space="preserve">                     </w:t>
      </w:r>
      <w:r w:rsidRPr="008F60DD">
        <w:rPr>
          <w:rFonts w:ascii="Arial" w:hAnsi="Arial" w:cs="Arial"/>
          <w:b/>
          <w:bCs/>
          <w:rtl/>
        </w:rPr>
        <w:t>סמסטר</w:t>
      </w:r>
      <w:r w:rsidRPr="008F60DD">
        <w:rPr>
          <w:rFonts w:ascii="Arial" w:hAnsi="Arial" w:cs="Arial"/>
          <w:rtl/>
        </w:rPr>
        <w:t xml:space="preserve">:     </w:t>
      </w:r>
      <w:r w:rsidR="000C2BA0">
        <w:rPr>
          <w:rFonts w:ascii="Arial" w:hAnsi="Arial" w:cs="Arial" w:hint="cs"/>
          <w:rtl/>
        </w:rPr>
        <w:t>שנתי</w:t>
      </w:r>
      <w:r w:rsidR="000C2BA0">
        <w:rPr>
          <w:rFonts w:ascii="Arial" w:hAnsi="Arial" w:cs="Arial"/>
          <w:rtl/>
        </w:rPr>
        <w:t xml:space="preserve">              </w:t>
      </w:r>
      <w:bookmarkStart w:id="0" w:name="_GoBack"/>
      <w:bookmarkEnd w:id="0"/>
      <w:r w:rsidRPr="008F60DD">
        <w:rPr>
          <w:rFonts w:ascii="Arial" w:hAnsi="Arial" w:cs="Arial"/>
          <w:rtl/>
        </w:rPr>
        <w:t xml:space="preserve">     </w:t>
      </w:r>
      <w:r w:rsidRPr="008F60DD">
        <w:rPr>
          <w:rFonts w:ascii="Arial" w:hAnsi="Arial" w:cs="Arial"/>
          <w:b/>
          <w:bCs/>
          <w:rtl/>
        </w:rPr>
        <w:t>היקף שעות</w:t>
      </w:r>
      <w:r w:rsidRPr="008F60DD">
        <w:rPr>
          <w:rFonts w:ascii="Arial" w:hAnsi="Arial" w:cs="Arial"/>
          <w:rtl/>
        </w:rPr>
        <w:t xml:space="preserve">:  </w:t>
      </w:r>
      <w:r w:rsidR="000C2BA0">
        <w:rPr>
          <w:rFonts w:ascii="Arial" w:hAnsi="Arial" w:cs="Arial" w:hint="cs"/>
          <w:rtl/>
        </w:rPr>
        <w:t xml:space="preserve">2 </w:t>
      </w:r>
      <w:proofErr w:type="spellStart"/>
      <w:r w:rsidR="000C2BA0">
        <w:rPr>
          <w:rFonts w:ascii="Arial" w:hAnsi="Arial" w:cs="Arial" w:hint="cs"/>
          <w:rtl/>
        </w:rPr>
        <w:t>ש"ש</w:t>
      </w:r>
      <w:proofErr w:type="spellEnd"/>
    </w:p>
    <w:p w:rsidR="009D45E7" w:rsidRPr="008F60DD" w:rsidRDefault="009D45E7" w:rsidP="009D45E7">
      <w:pPr>
        <w:rPr>
          <w:rFonts w:ascii="Arial" w:hAnsi="Arial" w:cs="Arial"/>
          <w:rtl/>
        </w:rPr>
      </w:pPr>
      <w:r w:rsidRPr="008F60DD">
        <w:rPr>
          <w:rFonts w:ascii="Arial" w:hAnsi="Arial" w:cs="Arial"/>
          <w:b/>
          <w:bCs/>
          <w:rtl/>
        </w:rPr>
        <w:t xml:space="preserve"> אתר הקורס באינטרנט:</w:t>
      </w:r>
      <w:r w:rsidRPr="008F60DD">
        <w:rPr>
          <w:rFonts w:ascii="Arial" w:hAnsi="Arial" w:cs="Arial"/>
          <w:rtl/>
        </w:rPr>
        <w:t xml:space="preserve">   </w:t>
      </w:r>
    </w:p>
    <w:p w:rsidR="009D45E7" w:rsidRPr="008F60DD" w:rsidRDefault="009D45E7" w:rsidP="009D45E7">
      <w:pPr>
        <w:rPr>
          <w:rFonts w:ascii="Arial" w:hAnsi="Arial" w:cs="Arial"/>
          <w:rtl/>
        </w:rPr>
      </w:pPr>
    </w:p>
    <w:p w:rsidR="00970860" w:rsidRPr="008F60DD" w:rsidRDefault="00970860" w:rsidP="00970860">
      <w:pPr>
        <w:rPr>
          <w:rFonts w:ascii="Arial" w:hAnsi="Arial" w:cs="Arial"/>
          <w:b/>
          <w:bCs/>
          <w:rtl/>
        </w:rPr>
      </w:pPr>
      <w:r w:rsidRPr="008F60DD">
        <w:rPr>
          <w:rFonts w:ascii="Arial" w:hAnsi="Arial" w:cs="Arial" w:hint="cs"/>
          <w:b/>
          <w:bCs/>
          <w:rtl/>
        </w:rPr>
        <w:t>מטרות הקורס</w:t>
      </w:r>
    </w:p>
    <w:p w:rsidR="00B00421" w:rsidRPr="008F60DD" w:rsidRDefault="007D3D21" w:rsidP="00EA572D">
      <w:pPr>
        <w:rPr>
          <w:rFonts w:ascii="Arial" w:hAnsi="Arial" w:cs="Arial"/>
          <w:rtl/>
        </w:rPr>
      </w:pPr>
      <w:r w:rsidRPr="008F60DD">
        <w:rPr>
          <w:rFonts w:ascii="Arial" w:hAnsi="Arial" w:cs="Arial" w:hint="cs"/>
          <w:rtl/>
        </w:rPr>
        <w:t>לבחון</w:t>
      </w:r>
      <w:r w:rsidR="00630240" w:rsidRPr="008F60DD">
        <w:rPr>
          <w:rFonts w:ascii="Arial" w:hAnsi="Arial" w:cs="Arial" w:hint="cs"/>
          <w:rtl/>
        </w:rPr>
        <w:t xml:space="preserve"> את</w:t>
      </w:r>
      <w:r w:rsidR="00D31B85" w:rsidRPr="008F60DD">
        <w:rPr>
          <w:rFonts w:ascii="Arial" w:hAnsi="Arial" w:cs="Arial" w:hint="cs"/>
          <w:rtl/>
        </w:rPr>
        <w:t xml:space="preserve"> </w:t>
      </w:r>
      <w:r w:rsidR="0068764E">
        <w:rPr>
          <w:rFonts w:ascii="Arial" w:hAnsi="Arial" w:cs="Arial" w:hint="cs"/>
          <w:rtl/>
        </w:rPr>
        <w:t>בעיות</w:t>
      </w:r>
      <w:r w:rsidR="00CD3F4E" w:rsidRPr="008F60DD">
        <w:rPr>
          <w:rFonts w:ascii="Arial" w:hAnsi="Arial" w:cs="Arial" w:hint="cs"/>
          <w:rtl/>
        </w:rPr>
        <w:t xml:space="preserve"> </w:t>
      </w:r>
      <w:r w:rsidR="0056331F" w:rsidRPr="008F60DD">
        <w:rPr>
          <w:rFonts w:ascii="Arial" w:hAnsi="Arial" w:cs="Arial" w:hint="cs"/>
          <w:rtl/>
        </w:rPr>
        <w:t xml:space="preserve">הביטחון </w:t>
      </w:r>
      <w:r w:rsidR="00EA572D">
        <w:rPr>
          <w:rFonts w:ascii="Arial" w:hAnsi="Arial" w:cs="Arial" w:hint="cs"/>
          <w:rtl/>
        </w:rPr>
        <w:t xml:space="preserve">המרכזיות </w:t>
      </w:r>
      <w:r w:rsidR="0056331F" w:rsidRPr="008F60DD">
        <w:rPr>
          <w:rFonts w:ascii="Arial" w:hAnsi="Arial" w:cs="Arial" w:hint="cs"/>
          <w:rtl/>
        </w:rPr>
        <w:t>של מדינת ישראל</w:t>
      </w:r>
      <w:r w:rsidR="00544158">
        <w:rPr>
          <w:rFonts w:ascii="Arial" w:hAnsi="Arial" w:cs="Arial" w:hint="cs"/>
          <w:rtl/>
        </w:rPr>
        <w:t>,</w:t>
      </w:r>
      <w:r w:rsidR="0056331F" w:rsidRPr="008F60DD">
        <w:rPr>
          <w:rFonts w:ascii="Arial" w:hAnsi="Arial" w:cs="Arial" w:hint="cs"/>
          <w:rtl/>
        </w:rPr>
        <w:t xml:space="preserve"> </w:t>
      </w:r>
      <w:r w:rsidR="00544158">
        <w:rPr>
          <w:rFonts w:ascii="Arial" w:hAnsi="Arial" w:cs="Arial" w:hint="cs"/>
          <w:rtl/>
        </w:rPr>
        <w:t>על פי ה</w:t>
      </w:r>
      <w:r w:rsidR="00B82DB5" w:rsidRPr="008F60DD">
        <w:rPr>
          <w:rFonts w:ascii="Arial" w:hAnsi="Arial" w:cs="Arial" w:hint="cs"/>
          <w:rtl/>
        </w:rPr>
        <w:t>גישות המחקריות</w:t>
      </w:r>
      <w:r w:rsidR="00EF5240" w:rsidRPr="008F60DD">
        <w:rPr>
          <w:rFonts w:ascii="Arial" w:hAnsi="Arial" w:cs="Arial" w:hint="cs"/>
          <w:rtl/>
        </w:rPr>
        <w:t xml:space="preserve"> השונות</w:t>
      </w:r>
      <w:r w:rsidR="00544158">
        <w:rPr>
          <w:rFonts w:ascii="Arial" w:hAnsi="Arial" w:cs="Arial" w:hint="cs"/>
          <w:rtl/>
        </w:rPr>
        <w:t>,</w:t>
      </w:r>
      <w:r w:rsidR="00EF5240" w:rsidRPr="008F60DD">
        <w:rPr>
          <w:rFonts w:ascii="Arial" w:hAnsi="Arial" w:cs="Arial" w:hint="cs"/>
          <w:rtl/>
        </w:rPr>
        <w:t xml:space="preserve"> </w:t>
      </w:r>
      <w:r w:rsidR="00544158">
        <w:rPr>
          <w:rFonts w:ascii="Arial" w:hAnsi="Arial" w:cs="Arial" w:hint="cs"/>
          <w:rtl/>
        </w:rPr>
        <w:t>המתייחסות ל</w:t>
      </w:r>
      <w:r w:rsidR="009477BB" w:rsidRPr="008F60DD">
        <w:rPr>
          <w:rFonts w:ascii="Arial" w:hAnsi="Arial" w:cs="Arial" w:hint="cs"/>
          <w:rtl/>
        </w:rPr>
        <w:t>תקופה ש</w:t>
      </w:r>
      <w:r w:rsidR="0056331F" w:rsidRPr="008F60DD">
        <w:rPr>
          <w:rFonts w:ascii="Arial" w:hAnsi="Arial" w:cs="Arial" w:hint="cs"/>
          <w:rtl/>
        </w:rPr>
        <w:t xml:space="preserve">לאחר מלחמת העצמאות ועד סוף העשור הראשון. </w:t>
      </w:r>
      <w:r w:rsidR="00060690">
        <w:rPr>
          <w:rFonts w:ascii="Arial" w:hAnsi="Arial" w:cs="Arial" w:hint="cs"/>
          <w:rtl/>
        </w:rPr>
        <w:t xml:space="preserve">גישות אלה נותנות </w:t>
      </w:r>
      <w:r w:rsidR="00060690" w:rsidRPr="008F60DD">
        <w:rPr>
          <w:rFonts w:ascii="Arial" w:hAnsi="Arial" w:cs="Arial" w:hint="cs"/>
          <w:rtl/>
        </w:rPr>
        <w:t xml:space="preserve">פרשנויות </w:t>
      </w:r>
      <w:r w:rsidR="00060690">
        <w:rPr>
          <w:rFonts w:ascii="Arial" w:hAnsi="Arial" w:cs="Arial" w:hint="cs"/>
          <w:rtl/>
        </w:rPr>
        <w:t xml:space="preserve">חלוקות </w:t>
      </w:r>
      <w:r w:rsidR="00060690" w:rsidRPr="008F60DD">
        <w:rPr>
          <w:rFonts w:ascii="Arial" w:hAnsi="Arial" w:cs="Arial" w:hint="cs"/>
          <w:rtl/>
        </w:rPr>
        <w:t xml:space="preserve">לאירועים הביטחוניים </w:t>
      </w:r>
      <w:r w:rsidR="00060690">
        <w:rPr>
          <w:rFonts w:ascii="Arial" w:hAnsi="Arial" w:cs="Arial" w:hint="cs"/>
          <w:rtl/>
        </w:rPr>
        <w:t xml:space="preserve">באותה תקופה הנובעות לא אחת מהגיון פנימי סותר. </w:t>
      </w:r>
      <w:r w:rsidR="00B0726D" w:rsidRPr="008F60DD">
        <w:rPr>
          <w:rFonts w:ascii="Arial" w:hAnsi="Arial" w:cs="Arial" w:hint="cs"/>
          <w:rtl/>
        </w:rPr>
        <w:t>בסמינר</w:t>
      </w:r>
      <w:r w:rsidR="00B82DB5" w:rsidRPr="008F60DD">
        <w:rPr>
          <w:rFonts w:ascii="Arial" w:hAnsi="Arial" w:cs="Arial" w:hint="cs"/>
          <w:rtl/>
        </w:rPr>
        <w:t>יון</w:t>
      </w:r>
      <w:r w:rsidR="00B0726D" w:rsidRPr="008F60DD">
        <w:rPr>
          <w:rFonts w:ascii="Arial" w:hAnsi="Arial" w:cs="Arial" w:hint="cs"/>
          <w:rtl/>
        </w:rPr>
        <w:t xml:space="preserve"> </w:t>
      </w:r>
      <w:r w:rsidR="00E47C35">
        <w:rPr>
          <w:rFonts w:ascii="Arial" w:hAnsi="Arial" w:cs="Arial" w:hint="cs"/>
          <w:rtl/>
        </w:rPr>
        <w:t>ננתח</w:t>
      </w:r>
      <w:r w:rsidR="00060690">
        <w:rPr>
          <w:rFonts w:ascii="Arial" w:hAnsi="Arial" w:cs="Arial" w:hint="cs"/>
          <w:rtl/>
        </w:rPr>
        <w:t xml:space="preserve"> </w:t>
      </w:r>
      <w:r w:rsidR="00A90035" w:rsidRPr="008F60DD">
        <w:rPr>
          <w:rFonts w:ascii="Arial" w:hAnsi="Arial" w:cs="Arial" w:hint="cs"/>
          <w:rtl/>
        </w:rPr>
        <w:t>סוגיות</w:t>
      </w:r>
      <w:r w:rsidR="0056331F" w:rsidRPr="008F60DD">
        <w:rPr>
          <w:rFonts w:ascii="Arial" w:hAnsi="Arial" w:cs="Arial" w:hint="cs"/>
          <w:rtl/>
        </w:rPr>
        <w:t xml:space="preserve"> </w:t>
      </w:r>
      <w:r w:rsidR="00EA572D">
        <w:rPr>
          <w:rFonts w:ascii="Arial" w:hAnsi="Arial" w:cs="Arial" w:hint="cs"/>
          <w:rtl/>
        </w:rPr>
        <w:t>הביטחוניות הבאות</w:t>
      </w:r>
      <w:r w:rsidR="00060690">
        <w:rPr>
          <w:rFonts w:ascii="Arial" w:hAnsi="Arial" w:cs="Arial" w:hint="cs"/>
          <w:rtl/>
        </w:rPr>
        <w:t xml:space="preserve">: </w:t>
      </w:r>
      <w:r w:rsidR="009A69BA" w:rsidRPr="008F60DD">
        <w:rPr>
          <w:rFonts w:ascii="Arial" w:hAnsi="Arial" w:cs="Arial" w:hint="cs"/>
          <w:rtl/>
        </w:rPr>
        <w:t xml:space="preserve"> </w:t>
      </w:r>
      <w:r w:rsidRPr="008F60DD">
        <w:rPr>
          <w:rFonts w:ascii="Arial" w:hAnsi="Arial" w:cs="Arial" w:hint="cs"/>
          <w:rtl/>
        </w:rPr>
        <w:t xml:space="preserve">עיצוב הגבולות של מדינת ישראל, </w:t>
      </w:r>
      <w:r w:rsidR="009477BB" w:rsidRPr="008F60DD">
        <w:rPr>
          <w:rFonts w:ascii="Arial" w:hAnsi="Arial" w:cs="Arial" w:hint="cs"/>
          <w:rtl/>
        </w:rPr>
        <w:t>הארגון של צה"ל מחדש</w:t>
      </w:r>
      <w:r w:rsidR="00C07ED8" w:rsidRPr="008F60DD">
        <w:rPr>
          <w:rFonts w:ascii="Arial" w:hAnsi="Arial" w:cs="Arial" w:hint="cs"/>
          <w:rtl/>
        </w:rPr>
        <w:t xml:space="preserve">, </w:t>
      </w:r>
      <w:r w:rsidR="00A16206" w:rsidRPr="008F60DD">
        <w:rPr>
          <w:rFonts w:ascii="Arial" w:hAnsi="Arial" w:cs="Arial" w:hint="cs"/>
          <w:rtl/>
        </w:rPr>
        <w:t xml:space="preserve">פעולות הגמול </w:t>
      </w:r>
      <w:r w:rsidR="00270FF7" w:rsidRPr="008F60DD">
        <w:rPr>
          <w:rFonts w:ascii="Arial" w:hAnsi="Arial" w:cs="Arial" w:hint="cs"/>
          <w:rtl/>
        </w:rPr>
        <w:t xml:space="preserve">כמכשיר ביטחוני, </w:t>
      </w:r>
      <w:r w:rsidR="00E87811" w:rsidRPr="008F60DD">
        <w:rPr>
          <w:rFonts w:ascii="Arial" w:hAnsi="Arial" w:cs="Arial" w:hint="cs"/>
          <w:rtl/>
        </w:rPr>
        <w:t xml:space="preserve">הקמת יחידות מיוחדות למלחמה בהסתננות, </w:t>
      </w:r>
      <w:r w:rsidR="00C1633F" w:rsidRPr="008F60DD">
        <w:rPr>
          <w:rFonts w:ascii="Arial" w:hAnsi="Arial" w:cs="Arial" w:hint="cs"/>
          <w:rtl/>
        </w:rPr>
        <w:t>התיישבות וביטחון</w:t>
      </w:r>
      <w:r w:rsidR="00B0726D" w:rsidRPr="008F60DD">
        <w:rPr>
          <w:rFonts w:ascii="Arial" w:hAnsi="Arial" w:cs="Arial" w:hint="cs"/>
          <w:rtl/>
        </w:rPr>
        <w:t xml:space="preserve">. </w:t>
      </w:r>
    </w:p>
    <w:p w:rsidR="00B00421" w:rsidRPr="008F60DD" w:rsidRDefault="00B00421" w:rsidP="009D45E7">
      <w:pPr>
        <w:rPr>
          <w:rFonts w:ascii="Arial" w:hAnsi="Arial" w:cs="Arial"/>
          <w:rtl/>
        </w:rPr>
      </w:pPr>
    </w:p>
    <w:p w:rsidR="00B00421" w:rsidRPr="008F60DD" w:rsidRDefault="00B00421" w:rsidP="009D45E7">
      <w:pPr>
        <w:rPr>
          <w:rFonts w:ascii="Arial" w:hAnsi="Arial" w:cs="Arial"/>
          <w:rtl/>
        </w:rPr>
      </w:pPr>
    </w:p>
    <w:p w:rsidR="00B00421" w:rsidRPr="008F60DD" w:rsidRDefault="00970860" w:rsidP="009D45E7">
      <w:pPr>
        <w:rPr>
          <w:rFonts w:ascii="Arial" w:hAnsi="Arial" w:cs="Arial"/>
          <w:b/>
          <w:bCs/>
          <w:rtl/>
        </w:rPr>
      </w:pPr>
      <w:r w:rsidRPr="008F60DD">
        <w:rPr>
          <w:rFonts w:ascii="Arial" w:hAnsi="Arial" w:cs="Arial" w:hint="cs"/>
          <w:b/>
          <w:bCs/>
          <w:rtl/>
        </w:rPr>
        <w:t>תוכן הקורס</w:t>
      </w:r>
    </w:p>
    <w:p w:rsidR="00D44F01" w:rsidRPr="008F60DD" w:rsidRDefault="00A00ED5" w:rsidP="00544158">
      <w:pPr>
        <w:rPr>
          <w:rFonts w:ascii="Arial" w:hAnsi="Arial" w:cs="Arial"/>
          <w:rtl/>
        </w:rPr>
      </w:pPr>
      <w:r w:rsidRPr="008F60DD">
        <w:rPr>
          <w:rFonts w:ascii="Arial" w:hAnsi="Arial" w:cs="Arial" w:hint="cs"/>
          <w:rtl/>
        </w:rPr>
        <w:t>הקורס יתמקד ב</w:t>
      </w:r>
      <w:r w:rsidR="00D56949" w:rsidRPr="008F60DD">
        <w:rPr>
          <w:rFonts w:ascii="Arial" w:hAnsi="Arial" w:cs="Arial" w:hint="cs"/>
          <w:rtl/>
        </w:rPr>
        <w:t xml:space="preserve">בעיות הביטחון של </w:t>
      </w:r>
      <w:r w:rsidR="00D655B0" w:rsidRPr="008F60DD">
        <w:rPr>
          <w:rFonts w:ascii="Arial" w:hAnsi="Arial" w:cs="Arial" w:hint="cs"/>
          <w:rtl/>
        </w:rPr>
        <w:t xml:space="preserve">מדינת </w:t>
      </w:r>
      <w:r w:rsidR="00D56949" w:rsidRPr="008F60DD">
        <w:rPr>
          <w:rFonts w:ascii="Arial" w:hAnsi="Arial" w:cs="Arial" w:hint="cs"/>
          <w:rtl/>
        </w:rPr>
        <w:t>ישראל ב</w:t>
      </w:r>
      <w:r w:rsidR="00046606" w:rsidRPr="008F60DD">
        <w:rPr>
          <w:rFonts w:ascii="Arial" w:hAnsi="Arial" w:cs="Arial" w:hint="cs"/>
          <w:rtl/>
        </w:rPr>
        <w:t xml:space="preserve">עשור הראשון לקיומה </w:t>
      </w:r>
      <w:r w:rsidRPr="008F60DD">
        <w:rPr>
          <w:rFonts w:ascii="Arial" w:hAnsi="Arial" w:cs="Arial" w:hint="cs"/>
          <w:rtl/>
        </w:rPr>
        <w:t xml:space="preserve">ויבחן </w:t>
      </w:r>
      <w:r w:rsidR="00544158">
        <w:rPr>
          <w:rFonts w:ascii="Arial" w:hAnsi="Arial" w:cs="Arial" w:hint="cs"/>
          <w:rtl/>
        </w:rPr>
        <w:t xml:space="preserve">את הארגון מחדש של צה"ל, יברר את תופעת ההסתננות, </w:t>
      </w:r>
      <w:r w:rsidR="00BA5B6F" w:rsidRPr="008F60DD">
        <w:rPr>
          <w:rFonts w:ascii="Arial" w:hAnsi="Arial" w:cs="Arial" w:hint="cs"/>
          <w:rtl/>
        </w:rPr>
        <w:t xml:space="preserve">את דרכי </w:t>
      </w:r>
      <w:r w:rsidR="00B82DB5" w:rsidRPr="008F60DD">
        <w:rPr>
          <w:rFonts w:ascii="Arial" w:hAnsi="Arial" w:cs="Arial" w:hint="cs"/>
          <w:rtl/>
        </w:rPr>
        <w:t>התמודדות</w:t>
      </w:r>
      <w:r w:rsidR="00BA5B6F" w:rsidRPr="008F60DD">
        <w:rPr>
          <w:rFonts w:ascii="Arial" w:hAnsi="Arial" w:cs="Arial" w:hint="cs"/>
          <w:rtl/>
        </w:rPr>
        <w:t>ו</w:t>
      </w:r>
      <w:r w:rsidR="00B82DB5" w:rsidRPr="008F60DD">
        <w:rPr>
          <w:rFonts w:ascii="Arial" w:hAnsi="Arial" w:cs="Arial" w:hint="cs"/>
          <w:rtl/>
        </w:rPr>
        <w:t xml:space="preserve"> </w:t>
      </w:r>
      <w:r w:rsidR="00544158">
        <w:rPr>
          <w:rFonts w:ascii="Arial" w:hAnsi="Arial" w:cs="Arial" w:hint="cs"/>
          <w:rtl/>
        </w:rPr>
        <w:t xml:space="preserve">של צה"ל </w:t>
      </w:r>
      <w:r w:rsidR="00B82DB5" w:rsidRPr="008F60DD">
        <w:rPr>
          <w:rFonts w:ascii="Arial" w:hAnsi="Arial" w:cs="Arial" w:hint="cs"/>
          <w:rtl/>
        </w:rPr>
        <w:t xml:space="preserve">עם </w:t>
      </w:r>
      <w:r w:rsidR="00544158">
        <w:rPr>
          <w:rFonts w:ascii="Arial" w:hAnsi="Arial" w:cs="Arial" w:hint="cs"/>
          <w:rtl/>
        </w:rPr>
        <w:t>נזקי ההסתננות ו</w:t>
      </w:r>
      <w:r w:rsidR="00E17431" w:rsidRPr="008F60DD">
        <w:rPr>
          <w:rFonts w:ascii="Arial" w:hAnsi="Arial" w:cs="Arial" w:hint="cs"/>
          <w:rtl/>
        </w:rPr>
        <w:t>הביטחון השוטף</w:t>
      </w:r>
      <w:r w:rsidR="00544158">
        <w:rPr>
          <w:rFonts w:ascii="Arial" w:hAnsi="Arial" w:cs="Arial" w:hint="cs"/>
          <w:rtl/>
        </w:rPr>
        <w:t xml:space="preserve"> ובמיוחד את פעולות הגמול כמכשיר כוח, נלבן את </w:t>
      </w:r>
      <w:r w:rsidR="009D5D00" w:rsidRPr="008F60DD">
        <w:rPr>
          <w:rFonts w:ascii="Arial" w:hAnsi="Arial" w:cs="Arial" w:hint="cs"/>
          <w:rtl/>
        </w:rPr>
        <w:t xml:space="preserve">תפישות הביטחון </w:t>
      </w:r>
      <w:r w:rsidR="00544158">
        <w:rPr>
          <w:rFonts w:ascii="Arial" w:hAnsi="Arial" w:cs="Arial" w:hint="cs"/>
          <w:rtl/>
        </w:rPr>
        <w:t xml:space="preserve">ואת שאלת הסטטוס קוו והשינוי ביחס לגבולות שביתת הנשק. </w:t>
      </w:r>
    </w:p>
    <w:p w:rsidR="00B00421" w:rsidRPr="008F60DD" w:rsidRDefault="00B00421" w:rsidP="009D45E7">
      <w:pPr>
        <w:rPr>
          <w:rFonts w:ascii="Arial" w:hAnsi="Arial" w:cs="Arial"/>
          <w:rtl/>
        </w:rPr>
      </w:pPr>
    </w:p>
    <w:p w:rsidR="00B00421" w:rsidRPr="008F60DD" w:rsidRDefault="00B00421" w:rsidP="009D45E7">
      <w:pPr>
        <w:rPr>
          <w:rFonts w:ascii="Arial" w:hAnsi="Arial" w:cs="Arial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2178"/>
        <w:gridCol w:w="1980"/>
        <w:gridCol w:w="1980"/>
      </w:tblGrid>
      <w:tr w:rsidR="00463537" w:rsidRPr="008F60DD" w:rsidTr="00BA5B6F">
        <w:trPr>
          <w:jc w:val="center"/>
        </w:trPr>
        <w:tc>
          <w:tcPr>
            <w:tcW w:w="1349" w:type="dxa"/>
            <w:shd w:val="clear" w:color="auto" w:fill="auto"/>
          </w:tcPr>
          <w:p w:rsidR="00463537" w:rsidRPr="008F60DD" w:rsidRDefault="00463537" w:rsidP="00BA5B6F">
            <w:pPr>
              <w:spacing w:line="360" w:lineRule="auto"/>
              <w:rPr>
                <w:sz w:val="28"/>
                <w:szCs w:val="28"/>
              </w:rPr>
            </w:pPr>
            <w:r w:rsidRPr="008F60DD">
              <w:rPr>
                <w:sz w:val="28"/>
                <w:szCs w:val="28"/>
                <w:rtl/>
              </w:rPr>
              <w:t>מס' השיעור</w:t>
            </w:r>
          </w:p>
        </w:tc>
        <w:tc>
          <w:tcPr>
            <w:tcW w:w="2178" w:type="dxa"/>
            <w:shd w:val="clear" w:color="auto" w:fill="auto"/>
          </w:tcPr>
          <w:p w:rsidR="00463537" w:rsidRPr="008F60DD" w:rsidRDefault="00463537" w:rsidP="00BA5B6F">
            <w:pPr>
              <w:spacing w:line="360" w:lineRule="auto"/>
              <w:rPr>
                <w:sz w:val="28"/>
                <w:szCs w:val="28"/>
              </w:rPr>
            </w:pPr>
            <w:r w:rsidRPr="008F60DD">
              <w:rPr>
                <w:sz w:val="28"/>
                <w:szCs w:val="28"/>
                <w:rtl/>
              </w:rPr>
              <w:t>נושא השיעור</w:t>
            </w:r>
          </w:p>
        </w:tc>
        <w:tc>
          <w:tcPr>
            <w:tcW w:w="1980" w:type="dxa"/>
            <w:shd w:val="clear" w:color="auto" w:fill="auto"/>
          </w:tcPr>
          <w:p w:rsidR="00463537" w:rsidRPr="008F60DD" w:rsidRDefault="00463537" w:rsidP="00BA5B6F">
            <w:pPr>
              <w:spacing w:line="360" w:lineRule="auto"/>
              <w:rPr>
                <w:sz w:val="28"/>
                <w:szCs w:val="28"/>
              </w:rPr>
            </w:pPr>
            <w:r w:rsidRPr="008F60DD">
              <w:rPr>
                <w:sz w:val="28"/>
                <w:szCs w:val="28"/>
                <w:rtl/>
              </w:rPr>
              <w:t>קריאה נדרשת</w:t>
            </w:r>
          </w:p>
        </w:tc>
        <w:tc>
          <w:tcPr>
            <w:tcW w:w="1980" w:type="dxa"/>
            <w:shd w:val="clear" w:color="auto" w:fill="auto"/>
          </w:tcPr>
          <w:p w:rsidR="00463537" w:rsidRPr="008F60DD" w:rsidRDefault="00463537" w:rsidP="00BA5B6F">
            <w:pPr>
              <w:spacing w:line="360" w:lineRule="auto"/>
              <w:rPr>
                <w:sz w:val="28"/>
                <w:szCs w:val="28"/>
              </w:rPr>
            </w:pPr>
            <w:r w:rsidRPr="008F60DD">
              <w:rPr>
                <w:sz w:val="28"/>
                <w:szCs w:val="28"/>
                <w:rtl/>
              </w:rPr>
              <w:t xml:space="preserve"> הערות</w:t>
            </w:r>
          </w:p>
        </w:tc>
      </w:tr>
      <w:tr w:rsidR="00463537" w:rsidRPr="008F60DD" w:rsidTr="00BA5B6F">
        <w:trPr>
          <w:jc w:val="center"/>
        </w:trPr>
        <w:tc>
          <w:tcPr>
            <w:tcW w:w="1349" w:type="dxa"/>
            <w:shd w:val="clear" w:color="auto" w:fill="auto"/>
          </w:tcPr>
          <w:p w:rsidR="00463537" w:rsidRPr="008F60DD" w:rsidRDefault="00463537" w:rsidP="00BA5B6F">
            <w:pPr>
              <w:spacing w:line="360" w:lineRule="auto"/>
              <w:rPr>
                <w:sz w:val="28"/>
                <w:szCs w:val="28"/>
              </w:rPr>
            </w:pPr>
            <w:r w:rsidRPr="008F60DD">
              <w:rPr>
                <w:sz w:val="28"/>
                <w:szCs w:val="28"/>
                <w:rtl/>
              </w:rPr>
              <w:t>1</w:t>
            </w:r>
          </w:p>
        </w:tc>
        <w:tc>
          <w:tcPr>
            <w:tcW w:w="2178" w:type="dxa"/>
            <w:shd w:val="clear" w:color="auto" w:fill="auto"/>
          </w:tcPr>
          <w:p w:rsidR="00463537" w:rsidRPr="008F60DD" w:rsidRDefault="00E4613B" w:rsidP="00BA5B6F">
            <w:pPr>
              <w:spacing w:line="360" w:lineRule="auto"/>
              <w:rPr>
                <w:sz w:val="28"/>
                <w:szCs w:val="28"/>
              </w:rPr>
            </w:pPr>
            <w:r w:rsidRPr="008F60DD">
              <w:rPr>
                <w:rFonts w:hint="cs"/>
                <w:sz w:val="28"/>
                <w:szCs w:val="28"/>
                <w:rtl/>
              </w:rPr>
              <w:t xml:space="preserve">מבוא לסמינריון </w:t>
            </w:r>
            <w:r w:rsidR="009D5D00" w:rsidRPr="008F60DD">
              <w:rPr>
                <w:sz w:val="28"/>
                <w:szCs w:val="28"/>
                <w:rtl/>
              </w:rPr>
              <w:t>–</w:t>
            </w:r>
            <w:r w:rsidRPr="008F60DD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D5D00" w:rsidRPr="008F60DD">
              <w:rPr>
                <w:rFonts w:hint="cs"/>
                <w:sz w:val="28"/>
                <w:szCs w:val="28"/>
                <w:rtl/>
              </w:rPr>
              <w:t xml:space="preserve">נושא המחקר </w:t>
            </w:r>
            <w:r w:rsidR="009D5D00" w:rsidRPr="008F60DD">
              <w:rPr>
                <w:sz w:val="28"/>
                <w:szCs w:val="28"/>
                <w:rtl/>
              </w:rPr>
              <w:t>–</w:t>
            </w:r>
            <w:r w:rsidR="009D5D00" w:rsidRPr="008F60DD">
              <w:rPr>
                <w:rFonts w:hint="cs"/>
                <w:sz w:val="28"/>
                <w:szCs w:val="28"/>
                <w:rtl/>
              </w:rPr>
              <w:t xml:space="preserve"> הרקע והחשיבות - </w:t>
            </w:r>
            <w:r w:rsidR="0023714D" w:rsidRPr="008F60DD">
              <w:rPr>
                <w:rFonts w:hint="cs"/>
                <w:sz w:val="28"/>
                <w:szCs w:val="28"/>
                <w:rtl/>
              </w:rPr>
              <w:t xml:space="preserve">קווי </w:t>
            </w:r>
            <w:r w:rsidR="009D5D00" w:rsidRPr="008F60DD">
              <w:rPr>
                <w:rFonts w:hint="cs"/>
                <w:sz w:val="28"/>
                <w:szCs w:val="28"/>
                <w:rtl/>
              </w:rPr>
              <w:t xml:space="preserve">המתאר של המחקר החדש על </w:t>
            </w:r>
            <w:r w:rsidR="0023714D" w:rsidRPr="008F60DD">
              <w:rPr>
                <w:rFonts w:hint="cs"/>
                <w:sz w:val="28"/>
                <w:szCs w:val="28"/>
                <w:rtl/>
              </w:rPr>
              <w:t xml:space="preserve">התקופה </w:t>
            </w:r>
          </w:p>
        </w:tc>
        <w:tc>
          <w:tcPr>
            <w:tcW w:w="1980" w:type="dxa"/>
            <w:shd w:val="clear" w:color="auto" w:fill="auto"/>
          </w:tcPr>
          <w:p w:rsidR="00463537" w:rsidRPr="008F60DD" w:rsidRDefault="00463537" w:rsidP="00BA5B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463537" w:rsidRPr="008F60DD" w:rsidRDefault="00E4613B" w:rsidP="00E71FE7">
            <w:pPr>
              <w:spacing w:line="360" w:lineRule="auto"/>
              <w:rPr>
                <w:sz w:val="28"/>
                <w:szCs w:val="28"/>
              </w:rPr>
            </w:pPr>
            <w:r w:rsidRPr="008F60DD">
              <w:rPr>
                <w:rFonts w:hint="cs"/>
                <w:sz w:val="28"/>
                <w:szCs w:val="28"/>
                <w:rtl/>
              </w:rPr>
              <w:t xml:space="preserve">סקירה של </w:t>
            </w:r>
            <w:r w:rsidR="00E71FE7" w:rsidRPr="008F60DD">
              <w:rPr>
                <w:rFonts w:hint="cs"/>
                <w:sz w:val="28"/>
                <w:szCs w:val="28"/>
                <w:rtl/>
              </w:rPr>
              <w:t>תובנות</w:t>
            </w:r>
            <w:r w:rsidRPr="008F60DD">
              <w:rPr>
                <w:rFonts w:hint="cs"/>
                <w:sz w:val="28"/>
                <w:szCs w:val="28"/>
                <w:rtl/>
              </w:rPr>
              <w:t xml:space="preserve"> המחקר ההיסטורי </w:t>
            </w:r>
            <w:r w:rsidR="00B0726D" w:rsidRPr="008F60DD">
              <w:rPr>
                <w:rFonts w:hint="cs"/>
                <w:sz w:val="28"/>
                <w:szCs w:val="28"/>
                <w:rtl/>
              </w:rPr>
              <w:t xml:space="preserve">החדש </w:t>
            </w:r>
            <w:r w:rsidRPr="008F60DD">
              <w:rPr>
                <w:rFonts w:hint="cs"/>
                <w:sz w:val="28"/>
                <w:szCs w:val="28"/>
                <w:rtl/>
              </w:rPr>
              <w:t xml:space="preserve">על התקופה </w:t>
            </w:r>
            <w:r w:rsidR="00E326A0" w:rsidRPr="008F60DD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D5D00" w:rsidRPr="008F60DD">
              <w:rPr>
                <w:rFonts w:hint="cs"/>
                <w:sz w:val="28"/>
                <w:szCs w:val="28"/>
                <w:rtl/>
              </w:rPr>
              <w:t>שמתום מלחמת העצמאות ועד לאחר מבצע קדש</w:t>
            </w:r>
          </w:p>
        </w:tc>
      </w:tr>
      <w:tr w:rsidR="00463537" w:rsidRPr="008F60DD" w:rsidTr="00BA5B6F">
        <w:trPr>
          <w:jc w:val="center"/>
        </w:trPr>
        <w:tc>
          <w:tcPr>
            <w:tcW w:w="1349" w:type="dxa"/>
            <w:shd w:val="clear" w:color="auto" w:fill="auto"/>
          </w:tcPr>
          <w:p w:rsidR="00463537" w:rsidRPr="008F60DD" w:rsidRDefault="00463537" w:rsidP="00BA5B6F">
            <w:pPr>
              <w:spacing w:line="360" w:lineRule="auto"/>
              <w:rPr>
                <w:sz w:val="28"/>
                <w:szCs w:val="28"/>
              </w:rPr>
            </w:pPr>
            <w:r w:rsidRPr="008F60DD">
              <w:rPr>
                <w:sz w:val="28"/>
                <w:szCs w:val="28"/>
                <w:rtl/>
              </w:rPr>
              <w:t>2</w:t>
            </w:r>
          </w:p>
        </w:tc>
        <w:tc>
          <w:tcPr>
            <w:tcW w:w="2178" w:type="dxa"/>
            <w:shd w:val="clear" w:color="auto" w:fill="auto"/>
          </w:tcPr>
          <w:p w:rsidR="00463537" w:rsidRPr="008F60DD" w:rsidRDefault="008F2345" w:rsidP="00BA5B6F">
            <w:pPr>
              <w:spacing w:line="360" w:lineRule="auto"/>
              <w:rPr>
                <w:sz w:val="28"/>
                <w:szCs w:val="28"/>
              </w:rPr>
            </w:pPr>
            <w:r w:rsidRPr="008F60DD">
              <w:rPr>
                <w:rFonts w:hint="cs"/>
                <w:sz w:val="28"/>
                <w:szCs w:val="28"/>
                <w:rtl/>
              </w:rPr>
              <w:t xml:space="preserve">עיצוב הגבולות של מדינת ישראל-סטטוס </w:t>
            </w:r>
            <w:r w:rsidRPr="008F60DD">
              <w:rPr>
                <w:rFonts w:hint="cs"/>
                <w:sz w:val="28"/>
                <w:szCs w:val="28"/>
                <w:rtl/>
              </w:rPr>
              <w:lastRenderedPageBreak/>
              <w:t>קוו או שינוי יזום?</w:t>
            </w:r>
          </w:p>
        </w:tc>
        <w:tc>
          <w:tcPr>
            <w:tcW w:w="1980" w:type="dxa"/>
            <w:shd w:val="clear" w:color="auto" w:fill="auto"/>
          </w:tcPr>
          <w:p w:rsidR="00463537" w:rsidRPr="008F60DD" w:rsidRDefault="00544FA7" w:rsidP="00BA5B6F">
            <w:pPr>
              <w:spacing w:line="360" w:lineRule="auto"/>
              <w:rPr>
                <w:rtl/>
              </w:rPr>
            </w:pPr>
            <w:proofErr w:type="spellStart"/>
            <w:r w:rsidRPr="008F60DD">
              <w:rPr>
                <w:rFonts w:hint="cs"/>
                <w:rtl/>
              </w:rPr>
              <w:lastRenderedPageBreak/>
              <w:t>בני,מוריס</w:t>
            </w:r>
            <w:proofErr w:type="spellEnd"/>
            <w:r w:rsidRPr="008F60DD">
              <w:rPr>
                <w:rFonts w:hint="cs"/>
                <w:rtl/>
              </w:rPr>
              <w:t xml:space="preserve">, מלחמות הגבול של ישראל </w:t>
            </w:r>
            <w:r w:rsidRPr="008F60DD">
              <w:rPr>
                <w:rFonts w:hint="cs"/>
                <w:rtl/>
              </w:rPr>
              <w:lastRenderedPageBreak/>
              <w:t xml:space="preserve">1949 </w:t>
            </w:r>
            <w:r w:rsidRPr="008F60DD">
              <w:rPr>
                <w:rtl/>
              </w:rPr>
              <w:t>–</w:t>
            </w:r>
            <w:r w:rsidRPr="008F60DD">
              <w:rPr>
                <w:rFonts w:hint="cs"/>
                <w:rtl/>
              </w:rPr>
              <w:t xml:space="preserve"> 1956, תל </w:t>
            </w:r>
            <w:r w:rsidR="0096798F" w:rsidRPr="008F60DD">
              <w:rPr>
                <w:rFonts w:hint="cs"/>
                <w:rtl/>
              </w:rPr>
              <w:t>אביב 1996.</w:t>
            </w:r>
          </w:p>
          <w:p w:rsidR="0096798F" w:rsidRPr="008F60DD" w:rsidRDefault="0096798F" w:rsidP="00E06FED">
            <w:pPr>
              <w:spacing w:line="360" w:lineRule="auto"/>
              <w:rPr>
                <w:rtl/>
              </w:rPr>
            </w:pPr>
          </w:p>
          <w:p w:rsidR="00FC4208" w:rsidRPr="008F60DD" w:rsidRDefault="00544FA7" w:rsidP="00E06FED">
            <w:pPr>
              <w:spacing w:line="360" w:lineRule="auto"/>
              <w:rPr>
                <w:rtl/>
              </w:rPr>
            </w:pPr>
            <w:r w:rsidRPr="008F60DD">
              <w:rPr>
                <w:rFonts w:hint="cs"/>
                <w:rtl/>
              </w:rPr>
              <w:t xml:space="preserve">מוטי גולני, תהיה מלחמה בקיץ...ישראל בדרך אל מלחמת סיני, 1955 </w:t>
            </w:r>
            <w:r w:rsidRPr="008F60DD">
              <w:rPr>
                <w:rtl/>
              </w:rPr>
              <w:t>–</w:t>
            </w:r>
            <w:r w:rsidRPr="008F60DD">
              <w:rPr>
                <w:rFonts w:hint="cs"/>
                <w:rtl/>
              </w:rPr>
              <w:t xml:space="preserve"> 1956,</w:t>
            </w:r>
            <w:r w:rsidR="0096798F" w:rsidRPr="008F60DD">
              <w:rPr>
                <w:rFonts w:hint="cs"/>
                <w:rtl/>
              </w:rPr>
              <w:t xml:space="preserve"> מערכות, תל אביב, 1996. </w:t>
            </w:r>
          </w:p>
          <w:p w:rsidR="00E06FED" w:rsidRPr="008F60DD" w:rsidRDefault="00E06FED" w:rsidP="00E06FED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463537" w:rsidRPr="008F60DD" w:rsidRDefault="00463537" w:rsidP="00BA5B6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D3D21" w:rsidRPr="008F60DD" w:rsidTr="00BA5B6F">
        <w:trPr>
          <w:jc w:val="center"/>
        </w:trPr>
        <w:tc>
          <w:tcPr>
            <w:tcW w:w="1349" w:type="dxa"/>
            <w:shd w:val="clear" w:color="auto" w:fill="auto"/>
          </w:tcPr>
          <w:p w:rsidR="007D3D21" w:rsidRPr="008F60DD" w:rsidRDefault="007D3D21" w:rsidP="00BA5B6F">
            <w:pPr>
              <w:spacing w:line="360" w:lineRule="auto"/>
              <w:rPr>
                <w:sz w:val="28"/>
                <w:szCs w:val="28"/>
              </w:rPr>
            </w:pPr>
            <w:r w:rsidRPr="008F60DD">
              <w:rPr>
                <w:sz w:val="28"/>
                <w:szCs w:val="28"/>
                <w:rtl/>
              </w:rPr>
              <w:t>3</w:t>
            </w:r>
          </w:p>
        </w:tc>
        <w:tc>
          <w:tcPr>
            <w:tcW w:w="2178" w:type="dxa"/>
            <w:shd w:val="clear" w:color="auto" w:fill="auto"/>
          </w:tcPr>
          <w:p w:rsidR="007D3D21" w:rsidRPr="008F60DD" w:rsidRDefault="007D3D21" w:rsidP="00AD1CCE">
            <w:pPr>
              <w:spacing w:line="360" w:lineRule="auto"/>
              <w:rPr>
                <w:sz w:val="28"/>
                <w:szCs w:val="28"/>
              </w:rPr>
            </w:pPr>
            <w:r w:rsidRPr="008F60DD">
              <w:rPr>
                <w:rFonts w:hint="cs"/>
                <w:sz w:val="28"/>
                <w:szCs w:val="28"/>
                <w:rtl/>
              </w:rPr>
              <w:t xml:space="preserve">ההתמודדות עם תופעת ההסתננות- </w:t>
            </w:r>
            <w:r w:rsidR="005C4CD5" w:rsidRPr="008F60DD">
              <w:rPr>
                <w:rFonts w:hint="cs"/>
                <w:sz w:val="28"/>
                <w:szCs w:val="28"/>
                <w:rtl/>
              </w:rPr>
              <w:t>מ</w:t>
            </w:r>
            <w:r w:rsidR="00FC4208" w:rsidRPr="008F60DD">
              <w:rPr>
                <w:rFonts w:hint="cs"/>
                <w:sz w:val="28"/>
                <w:szCs w:val="28"/>
                <w:rtl/>
              </w:rPr>
              <w:t xml:space="preserve">דיניות </w:t>
            </w:r>
            <w:r w:rsidR="00AD1CCE" w:rsidRPr="008F60DD">
              <w:rPr>
                <w:rFonts w:hint="cs"/>
                <w:sz w:val="28"/>
                <w:szCs w:val="28"/>
                <w:rtl/>
              </w:rPr>
              <w:t>הביטחון ה</w:t>
            </w:r>
            <w:r w:rsidR="00FC4208" w:rsidRPr="008F60DD">
              <w:rPr>
                <w:rFonts w:hint="cs"/>
                <w:sz w:val="28"/>
                <w:szCs w:val="28"/>
                <w:rtl/>
              </w:rPr>
              <w:t>שוטף</w:t>
            </w:r>
          </w:p>
        </w:tc>
        <w:tc>
          <w:tcPr>
            <w:tcW w:w="1980" w:type="dxa"/>
            <w:shd w:val="clear" w:color="auto" w:fill="auto"/>
          </w:tcPr>
          <w:p w:rsidR="00A163F7" w:rsidRPr="008F60DD" w:rsidRDefault="00FC4208" w:rsidP="00BA5B6F">
            <w:pPr>
              <w:spacing w:line="360" w:lineRule="auto"/>
              <w:rPr>
                <w:rtl/>
              </w:rPr>
            </w:pPr>
            <w:r w:rsidRPr="008F60DD">
              <w:rPr>
                <w:rFonts w:hint="cs"/>
                <w:rtl/>
              </w:rPr>
              <w:t xml:space="preserve">דוד טל, תפיסת הביטחון השוטף של ישראל, מקורותיה והתפתחותה, 1949 </w:t>
            </w:r>
            <w:r w:rsidRPr="008F60DD">
              <w:rPr>
                <w:rtl/>
              </w:rPr>
              <w:t>–</w:t>
            </w:r>
            <w:r w:rsidRPr="008F60DD">
              <w:rPr>
                <w:rFonts w:hint="cs"/>
                <w:rtl/>
              </w:rPr>
              <w:t xml:space="preserve"> 1956.</w:t>
            </w:r>
            <w:r w:rsidR="0096798F" w:rsidRPr="008F60DD">
              <w:rPr>
                <w:rFonts w:hint="cs"/>
                <w:rtl/>
              </w:rPr>
              <w:t xml:space="preserve"> </w:t>
            </w:r>
          </w:p>
          <w:p w:rsidR="00FC4208" w:rsidRPr="008F60DD" w:rsidRDefault="00FC4208" w:rsidP="00BA5B6F">
            <w:pPr>
              <w:spacing w:line="360" w:lineRule="auto"/>
            </w:pPr>
            <w:r w:rsidRPr="008F60DD">
              <w:rPr>
                <w:rFonts w:hint="cs"/>
                <w:rtl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7D3D21" w:rsidRPr="008F60DD" w:rsidRDefault="007D3D21" w:rsidP="00BA5B6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D3D21" w:rsidRPr="008F60DD" w:rsidTr="00BA5B6F">
        <w:trPr>
          <w:jc w:val="center"/>
        </w:trPr>
        <w:tc>
          <w:tcPr>
            <w:tcW w:w="1349" w:type="dxa"/>
            <w:shd w:val="clear" w:color="auto" w:fill="auto"/>
          </w:tcPr>
          <w:p w:rsidR="007D3D21" w:rsidRPr="008F60DD" w:rsidRDefault="007D3D21" w:rsidP="00BA5B6F">
            <w:pPr>
              <w:spacing w:line="360" w:lineRule="auto"/>
              <w:rPr>
                <w:sz w:val="28"/>
                <w:szCs w:val="28"/>
                <w:rtl/>
              </w:rPr>
            </w:pPr>
            <w:r w:rsidRPr="008F60DD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2178" w:type="dxa"/>
            <w:shd w:val="clear" w:color="auto" w:fill="auto"/>
          </w:tcPr>
          <w:p w:rsidR="007D3D21" w:rsidRPr="008F60DD" w:rsidRDefault="007D3D21" w:rsidP="00BA5B6F">
            <w:pPr>
              <w:spacing w:line="360" w:lineRule="auto"/>
              <w:rPr>
                <w:sz w:val="28"/>
                <w:szCs w:val="28"/>
              </w:rPr>
            </w:pPr>
            <w:r w:rsidRPr="008F60DD">
              <w:rPr>
                <w:rFonts w:hint="cs"/>
                <w:sz w:val="28"/>
                <w:szCs w:val="28"/>
                <w:rtl/>
              </w:rPr>
              <w:t>ההתמודדות עם תופעת ההסתננות- פעולת קביה כמקרה מבחן</w:t>
            </w:r>
          </w:p>
        </w:tc>
        <w:tc>
          <w:tcPr>
            <w:tcW w:w="1980" w:type="dxa"/>
            <w:shd w:val="clear" w:color="auto" w:fill="auto"/>
          </w:tcPr>
          <w:p w:rsidR="00616DA3" w:rsidRPr="008F60DD" w:rsidRDefault="00616DA3" w:rsidP="00616DA3">
            <w:pPr>
              <w:spacing w:line="360" w:lineRule="auto"/>
              <w:rPr>
                <w:rtl/>
              </w:rPr>
            </w:pPr>
            <w:proofErr w:type="spellStart"/>
            <w:r w:rsidRPr="008F60DD">
              <w:rPr>
                <w:rFonts w:hint="cs"/>
                <w:rtl/>
              </w:rPr>
              <w:t>בני,מוריס</w:t>
            </w:r>
            <w:proofErr w:type="spellEnd"/>
            <w:r w:rsidRPr="008F60DD">
              <w:rPr>
                <w:rFonts w:hint="cs"/>
                <w:rtl/>
              </w:rPr>
              <w:t xml:space="preserve">, מלחמות הגבול של ישראל 1949 </w:t>
            </w:r>
            <w:r w:rsidRPr="008F60DD">
              <w:rPr>
                <w:rtl/>
              </w:rPr>
              <w:t>–</w:t>
            </w:r>
            <w:r w:rsidRPr="008F60DD">
              <w:rPr>
                <w:rFonts w:hint="cs"/>
                <w:rtl/>
              </w:rPr>
              <w:t xml:space="preserve"> 1956, תל אביב 1996, עמ'</w:t>
            </w:r>
          </w:p>
          <w:p w:rsidR="007D3D21" w:rsidRPr="008F60DD" w:rsidRDefault="007D3D21" w:rsidP="00BA5B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7D3D21" w:rsidRPr="008F60DD" w:rsidRDefault="007D3D21" w:rsidP="00BA5B6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D3D21" w:rsidRPr="008F60DD" w:rsidTr="00BA5B6F">
        <w:trPr>
          <w:jc w:val="center"/>
        </w:trPr>
        <w:tc>
          <w:tcPr>
            <w:tcW w:w="1349" w:type="dxa"/>
            <w:shd w:val="clear" w:color="auto" w:fill="auto"/>
          </w:tcPr>
          <w:p w:rsidR="007D3D21" w:rsidRPr="008F60DD" w:rsidRDefault="007D3D21" w:rsidP="00BA5B6F">
            <w:pPr>
              <w:spacing w:line="360" w:lineRule="auto"/>
              <w:rPr>
                <w:sz w:val="28"/>
                <w:szCs w:val="28"/>
                <w:rtl/>
              </w:rPr>
            </w:pPr>
            <w:r w:rsidRPr="008F60DD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2178" w:type="dxa"/>
            <w:shd w:val="clear" w:color="auto" w:fill="auto"/>
          </w:tcPr>
          <w:p w:rsidR="007D3D21" w:rsidRPr="008F60DD" w:rsidRDefault="00F36B4E" w:rsidP="005C4CD5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מהי עבודה סמינריונית? שלבי המחקר, דרישות העבודה ממשתתפי הסמינריון, המחקר בארכיונים. </w:t>
            </w:r>
          </w:p>
        </w:tc>
        <w:tc>
          <w:tcPr>
            <w:tcW w:w="1980" w:type="dxa"/>
            <w:shd w:val="clear" w:color="auto" w:fill="auto"/>
          </w:tcPr>
          <w:p w:rsidR="00FC4208" w:rsidRPr="008F60DD" w:rsidRDefault="00FC4208" w:rsidP="00A163F7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7D3D21" w:rsidRPr="008F60DD" w:rsidRDefault="007D3D21" w:rsidP="00BA5B6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36B4E" w:rsidRPr="008F60DD" w:rsidTr="00BA5B6F">
        <w:trPr>
          <w:jc w:val="center"/>
        </w:trPr>
        <w:tc>
          <w:tcPr>
            <w:tcW w:w="1349" w:type="dxa"/>
            <w:shd w:val="clear" w:color="auto" w:fill="auto"/>
          </w:tcPr>
          <w:p w:rsidR="00F36B4E" w:rsidRPr="008F60DD" w:rsidRDefault="00F36B4E" w:rsidP="00BA5B6F">
            <w:pPr>
              <w:spacing w:line="360" w:lineRule="auto"/>
              <w:rPr>
                <w:sz w:val="28"/>
                <w:szCs w:val="28"/>
                <w:rtl/>
              </w:rPr>
            </w:pPr>
            <w:r w:rsidRPr="008F60DD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2178" w:type="dxa"/>
            <w:shd w:val="clear" w:color="auto" w:fill="auto"/>
          </w:tcPr>
          <w:p w:rsidR="00F36B4E" w:rsidRPr="008F60DD" w:rsidRDefault="00F36B4E" w:rsidP="00737447">
            <w:pPr>
              <w:spacing w:line="360" w:lineRule="auto"/>
              <w:rPr>
                <w:sz w:val="28"/>
                <w:szCs w:val="28"/>
              </w:rPr>
            </w:pPr>
            <w:r w:rsidRPr="008F60DD">
              <w:rPr>
                <w:rFonts w:hint="cs"/>
                <w:sz w:val="28"/>
                <w:szCs w:val="28"/>
                <w:rtl/>
              </w:rPr>
              <w:t xml:space="preserve">ההתמודדות עם תופעת ההסתננות </w:t>
            </w:r>
            <w:r w:rsidRPr="008F60DD">
              <w:rPr>
                <w:sz w:val="28"/>
                <w:szCs w:val="28"/>
                <w:rtl/>
              </w:rPr>
              <w:t>–</w:t>
            </w:r>
            <w:r w:rsidRPr="008F60DD">
              <w:rPr>
                <w:rFonts w:hint="cs"/>
                <w:sz w:val="28"/>
                <w:szCs w:val="28"/>
                <w:rtl/>
              </w:rPr>
              <w:t xml:space="preserve"> התפיסות המנוגדות של דוד בן גוריון </w:t>
            </w:r>
            <w:r w:rsidRPr="008F60DD">
              <w:rPr>
                <w:rFonts w:hint="cs"/>
                <w:sz w:val="28"/>
                <w:szCs w:val="28"/>
                <w:rtl/>
              </w:rPr>
              <w:lastRenderedPageBreak/>
              <w:t>ומשה שרת</w:t>
            </w:r>
          </w:p>
        </w:tc>
        <w:tc>
          <w:tcPr>
            <w:tcW w:w="1980" w:type="dxa"/>
            <w:shd w:val="clear" w:color="auto" w:fill="auto"/>
          </w:tcPr>
          <w:p w:rsidR="00F36B4E" w:rsidRPr="008F60DD" w:rsidRDefault="00F36B4E" w:rsidP="00737447">
            <w:pPr>
              <w:spacing w:line="360" w:lineRule="auto"/>
              <w:rPr>
                <w:rtl/>
              </w:rPr>
            </w:pPr>
            <w:r w:rsidRPr="008F60DD">
              <w:rPr>
                <w:rFonts w:hint="cs"/>
                <w:rtl/>
              </w:rPr>
              <w:lastRenderedPageBreak/>
              <w:t xml:space="preserve">זכי שלום, מדיניות בצל מחלוקת: מדיניות הביטחון השוטף של ישראל, 1949 </w:t>
            </w:r>
            <w:r w:rsidRPr="008F60DD">
              <w:rPr>
                <w:rtl/>
              </w:rPr>
              <w:t>–</w:t>
            </w:r>
            <w:r w:rsidRPr="008F60DD">
              <w:rPr>
                <w:rFonts w:hint="cs"/>
                <w:rtl/>
              </w:rPr>
              <w:t xml:space="preserve"> 1956, שדה בוקר, </w:t>
            </w:r>
            <w:r w:rsidRPr="008F60DD">
              <w:rPr>
                <w:rFonts w:hint="cs"/>
                <w:rtl/>
              </w:rPr>
              <w:lastRenderedPageBreak/>
              <w:t>תשנ"ה. עמ'</w:t>
            </w:r>
          </w:p>
          <w:p w:rsidR="00F36B4E" w:rsidRPr="008F60DD" w:rsidRDefault="00F36B4E" w:rsidP="00737447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F36B4E" w:rsidRPr="008F60DD" w:rsidRDefault="00F36B4E" w:rsidP="0073744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36B4E" w:rsidRPr="008F60DD" w:rsidTr="00BA5B6F">
        <w:trPr>
          <w:jc w:val="center"/>
        </w:trPr>
        <w:tc>
          <w:tcPr>
            <w:tcW w:w="1349" w:type="dxa"/>
            <w:shd w:val="clear" w:color="auto" w:fill="auto"/>
          </w:tcPr>
          <w:p w:rsidR="00F36B4E" w:rsidRPr="008F60DD" w:rsidRDefault="00F36B4E" w:rsidP="00BA5B6F">
            <w:pPr>
              <w:spacing w:line="360" w:lineRule="auto"/>
              <w:rPr>
                <w:sz w:val="28"/>
                <w:szCs w:val="28"/>
                <w:rtl/>
              </w:rPr>
            </w:pPr>
            <w:r w:rsidRPr="008F60DD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2178" w:type="dxa"/>
            <w:shd w:val="clear" w:color="auto" w:fill="auto"/>
          </w:tcPr>
          <w:p w:rsidR="00F36B4E" w:rsidRPr="008F60DD" w:rsidRDefault="00F36B4E" w:rsidP="00737447">
            <w:pPr>
              <w:spacing w:line="360" w:lineRule="auto"/>
              <w:rPr>
                <w:sz w:val="28"/>
                <w:szCs w:val="28"/>
              </w:rPr>
            </w:pPr>
            <w:r w:rsidRPr="008F60DD">
              <w:rPr>
                <w:rFonts w:hint="cs"/>
                <w:sz w:val="28"/>
                <w:szCs w:val="28"/>
                <w:rtl/>
              </w:rPr>
              <w:t>פעולות הגמול -  אם קיים צה"ל מדיניות של דרדור למלחמה?  - פעולת 'חץ שחור' כמקרה מבחן</w:t>
            </w:r>
          </w:p>
        </w:tc>
        <w:tc>
          <w:tcPr>
            <w:tcW w:w="1980" w:type="dxa"/>
            <w:shd w:val="clear" w:color="auto" w:fill="auto"/>
          </w:tcPr>
          <w:p w:rsidR="00F36B4E" w:rsidRPr="008F60DD" w:rsidRDefault="00F36B4E" w:rsidP="00737447">
            <w:pPr>
              <w:spacing w:line="360" w:lineRule="auto"/>
              <w:rPr>
                <w:rtl/>
              </w:rPr>
            </w:pPr>
            <w:r w:rsidRPr="008F60DD">
              <w:rPr>
                <w:rFonts w:hint="cs"/>
                <w:rtl/>
              </w:rPr>
              <w:t xml:space="preserve">מוטי גולני, בן גוריון נגד דיין או בעקבותיו? ישראל בדרך אל המלחמה היזומה, קתדרה, 81 (תשנ"ז), עמ' 123 </w:t>
            </w:r>
            <w:r w:rsidRPr="008F60DD">
              <w:rPr>
                <w:rtl/>
              </w:rPr>
              <w:t>–</w:t>
            </w:r>
            <w:r w:rsidRPr="008F60DD">
              <w:rPr>
                <w:rFonts w:hint="cs"/>
                <w:rtl/>
              </w:rPr>
              <w:t xml:space="preserve"> 132.</w:t>
            </w:r>
          </w:p>
          <w:p w:rsidR="00F36B4E" w:rsidRPr="008F60DD" w:rsidRDefault="00F36B4E" w:rsidP="00737447">
            <w:pPr>
              <w:spacing w:line="360" w:lineRule="auto"/>
            </w:pPr>
            <w:r w:rsidRPr="008F60DD">
              <w:rPr>
                <w:rFonts w:hint="cs"/>
                <w:rtl/>
              </w:rPr>
              <w:t xml:space="preserve">דוד טל, בין בן גוריון שרת ודיין: המאבק על היזמה למלחמת מנע, 1955. קתדרה, 81 (תשנ"ז), עמ' 109 </w:t>
            </w:r>
            <w:r w:rsidRPr="008F60DD">
              <w:rPr>
                <w:rtl/>
              </w:rPr>
              <w:t>–</w:t>
            </w:r>
            <w:r w:rsidRPr="008F60DD">
              <w:rPr>
                <w:rFonts w:hint="cs"/>
                <w:rtl/>
              </w:rPr>
              <w:t xml:space="preserve"> 122.</w:t>
            </w:r>
          </w:p>
        </w:tc>
        <w:tc>
          <w:tcPr>
            <w:tcW w:w="1980" w:type="dxa"/>
            <w:shd w:val="clear" w:color="auto" w:fill="auto"/>
          </w:tcPr>
          <w:p w:rsidR="00F36B4E" w:rsidRPr="008F60DD" w:rsidRDefault="00F36B4E" w:rsidP="0073744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36B4E" w:rsidRPr="008F60DD" w:rsidTr="00BA5B6F">
        <w:trPr>
          <w:jc w:val="center"/>
        </w:trPr>
        <w:tc>
          <w:tcPr>
            <w:tcW w:w="1349" w:type="dxa"/>
            <w:shd w:val="clear" w:color="auto" w:fill="auto"/>
          </w:tcPr>
          <w:p w:rsidR="00F36B4E" w:rsidRPr="008F60DD" w:rsidRDefault="00F36B4E" w:rsidP="00BA5B6F">
            <w:pPr>
              <w:spacing w:line="360" w:lineRule="auto"/>
              <w:rPr>
                <w:sz w:val="28"/>
                <w:szCs w:val="28"/>
                <w:rtl/>
              </w:rPr>
            </w:pPr>
            <w:r w:rsidRPr="008F60DD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2178" w:type="dxa"/>
            <w:shd w:val="clear" w:color="auto" w:fill="auto"/>
          </w:tcPr>
          <w:p w:rsidR="00F36B4E" w:rsidRPr="008F60DD" w:rsidRDefault="00F36B4E" w:rsidP="00737447">
            <w:pPr>
              <w:spacing w:line="360" w:lineRule="auto"/>
              <w:rPr>
                <w:sz w:val="28"/>
                <w:szCs w:val="28"/>
              </w:rPr>
            </w:pPr>
            <w:r w:rsidRPr="008F60DD">
              <w:rPr>
                <w:rFonts w:hint="cs"/>
                <w:sz w:val="28"/>
                <w:szCs w:val="28"/>
                <w:rtl/>
              </w:rPr>
              <w:t xml:space="preserve">הקמת יחידות מיוחדות </w:t>
            </w:r>
            <w:r w:rsidRPr="008F60DD">
              <w:rPr>
                <w:sz w:val="28"/>
                <w:szCs w:val="28"/>
                <w:rtl/>
              </w:rPr>
              <w:t>–</w:t>
            </w:r>
            <w:r w:rsidRPr="008F60DD">
              <w:rPr>
                <w:rFonts w:hint="cs"/>
                <w:sz w:val="28"/>
                <w:szCs w:val="28"/>
                <w:rtl/>
              </w:rPr>
              <w:t xml:space="preserve"> יחידה 101</w:t>
            </w:r>
          </w:p>
        </w:tc>
        <w:tc>
          <w:tcPr>
            <w:tcW w:w="1980" w:type="dxa"/>
            <w:shd w:val="clear" w:color="auto" w:fill="auto"/>
          </w:tcPr>
          <w:p w:rsidR="00F36B4E" w:rsidRPr="008F60DD" w:rsidRDefault="00F36B4E" w:rsidP="00737447">
            <w:pPr>
              <w:spacing w:line="360" w:lineRule="auto"/>
              <w:rPr>
                <w:rtl/>
              </w:rPr>
            </w:pPr>
            <w:proofErr w:type="spellStart"/>
            <w:r w:rsidRPr="008F60DD">
              <w:rPr>
                <w:rFonts w:hint="cs"/>
                <w:rtl/>
              </w:rPr>
              <w:t>בני,מוריס</w:t>
            </w:r>
            <w:proofErr w:type="spellEnd"/>
            <w:r w:rsidRPr="008F60DD">
              <w:rPr>
                <w:rFonts w:hint="cs"/>
                <w:rtl/>
              </w:rPr>
              <w:t xml:space="preserve">, מלחמות הגבול של ישראל 1949 </w:t>
            </w:r>
            <w:r w:rsidRPr="008F60DD">
              <w:rPr>
                <w:rtl/>
              </w:rPr>
              <w:t>–</w:t>
            </w:r>
            <w:r w:rsidRPr="008F60DD">
              <w:rPr>
                <w:rFonts w:hint="cs"/>
                <w:rtl/>
              </w:rPr>
              <w:t xml:space="preserve"> 1956, תל אביב 1996.</w:t>
            </w:r>
          </w:p>
          <w:p w:rsidR="00F36B4E" w:rsidRPr="008F60DD" w:rsidRDefault="00F36B4E" w:rsidP="00737447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F36B4E" w:rsidRPr="008F60DD" w:rsidRDefault="00F36B4E" w:rsidP="0073744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36B4E" w:rsidRPr="008F60DD" w:rsidTr="00BA5B6F">
        <w:trPr>
          <w:jc w:val="center"/>
        </w:trPr>
        <w:tc>
          <w:tcPr>
            <w:tcW w:w="1349" w:type="dxa"/>
            <w:shd w:val="clear" w:color="auto" w:fill="auto"/>
          </w:tcPr>
          <w:p w:rsidR="00F36B4E" w:rsidRPr="008F60DD" w:rsidRDefault="00F36B4E" w:rsidP="00BA5B6F">
            <w:pPr>
              <w:spacing w:line="360" w:lineRule="auto"/>
              <w:rPr>
                <w:sz w:val="28"/>
                <w:szCs w:val="28"/>
                <w:rtl/>
              </w:rPr>
            </w:pPr>
            <w:r w:rsidRPr="008F60DD"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2178" w:type="dxa"/>
            <w:shd w:val="clear" w:color="auto" w:fill="auto"/>
          </w:tcPr>
          <w:p w:rsidR="00F36B4E" w:rsidRPr="008F60DD" w:rsidRDefault="00F36B4E" w:rsidP="00737447">
            <w:pPr>
              <w:spacing w:line="360" w:lineRule="auto"/>
              <w:rPr>
                <w:sz w:val="28"/>
                <w:szCs w:val="28"/>
              </w:rPr>
            </w:pPr>
            <w:r w:rsidRPr="008F60DD">
              <w:rPr>
                <w:rFonts w:hint="cs"/>
                <w:sz w:val="28"/>
                <w:szCs w:val="28"/>
                <w:rtl/>
              </w:rPr>
              <w:t xml:space="preserve">הקמת יחידות מיוחדות </w:t>
            </w:r>
            <w:r w:rsidRPr="008F60DD">
              <w:rPr>
                <w:sz w:val="28"/>
                <w:szCs w:val="28"/>
                <w:rtl/>
              </w:rPr>
              <w:t>–</w:t>
            </w:r>
            <w:r w:rsidRPr="008F60DD">
              <w:rPr>
                <w:rFonts w:hint="cs"/>
                <w:sz w:val="28"/>
                <w:szCs w:val="28"/>
                <w:rtl/>
              </w:rPr>
              <w:t xml:space="preserve"> חיל הספר ומשמר הגבול</w:t>
            </w:r>
          </w:p>
        </w:tc>
        <w:tc>
          <w:tcPr>
            <w:tcW w:w="1980" w:type="dxa"/>
            <w:shd w:val="clear" w:color="auto" w:fill="auto"/>
          </w:tcPr>
          <w:p w:rsidR="00F36B4E" w:rsidRPr="008F60DD" w:rsidRDefault="00F36B4E" w:rsidP="00737447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F36B4E" w:rsidRPr="008F60DD" w:rsidRDefault="00F36B4E" w:rsidP="00737447">
            <w:pPr>
              <w:spacing w:line="360" w:lineRule="auto"/>
              <w:rPr>
                <w:sz w:val="28"/>
                <w:szCs w:val="28"/>
                <w:rtl/>
              </w:rPr>
            </w:pPr>
          </w:p>
          <w:p w:rsidR="00F36B4E" w:rsidRPr="008F60DD" w:rsidRDefault="00F36B4E" w:rsidP="00737447">
            <w:pPr>
              <w:spacing w:line="360" w:lineRule="auto"/>
              <w:rPr>
                <w:sz w:val="28"/>
                <w:szCs w:val="28"/>
              </w:rPr>
            </w:pPr>
            <w:r w:rsidRPr="008F60DD">
              <w:rPr>
                <w:rFonts w:hint="cs"/>
                <w:sz w:val="28"/>
                <w:szCs w:val="28"/>
                <w:rtl/>
              </w:rPr>
              <w:t xml:space="preserve">הצגת סמינריון/עבודת מאסטר של יוסי אוחיון. </w:t>
            </w:r>
          </w:p>
        </w:tc>
      </w:tr>
      <w:tr w:rsidR="00F36B4E" w:rsidRPr="008F60DD" w:rsidTr="00BA5B6F">
        <w:trPr>
          <w:jc w:val="center"/>
        </w:trPr>
        <w:tc>
          <w:tcPr>
            <w:tcW w:w="1349" w:type="dxa"/>
            <w:shd w:val="clear" w:color="auto" w:fill="auto"/>
          </w:tcPr>
          <w:p w:rsidR="00F36B4E" w:rsidRPr="008F60DD" w:rsidRDefault="00F36B4E" w:rsidP="00BA5B6F">
            <w:pPr>
              <w:spacing w:line="360" w:lineRule="auto"/>
              <w:rPr>
                <w:sz w:val="28"/>
                <w:szCs w:val="28"/>
                <w:rtl/>
              </w:rPr>
            </w:pPr>
            <w:r w:rsidRPr="008F60DD"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2178" w:type="dxa"/>
            <w:shd w:val="clear" w:color="auto" w:fill="auto"/>
          </w:tcPr>
          <w:p w:rsidR="00F36B4E" w:rsidRPr="008F60DD" w:rsidRDefault="00F36B4E" w:rsidP="00737447">
            <w:pPr>
              <w:spacing w:line="360" w:lineRule="auto"/>
              <w:rPr>
                <w:sz w:val="28"/>
                <w:szCs w:val="28"/>
              </w:rPr>
            </w:pPr>
            <w:r w:rsidRPr="008F60DD">
              <w:rPr>
                <w:rFonts w:hint="cs"/>
                <w:sz w:val="28"/>
                <w:szCs w:val="28"/>
                <w:rtl/>
              </w:rPr>
              <w:t xml:space="preserve">איום 'הסיבוב השני' - הקמת צה"ל </w:t>
            </w:r>
          </w:p>
        </w:tc>
        <w:tc>
          <w:tcPr>
            <w:tcW w:w="1980" w:type="dxa"/>
            <w:shd w:val="clear" w:color="auto" w:fill="auto"/>
          </w:tcPr>
          <w:p w:rsidR="00F36B4E" w:rsidRPr="008F60DD" w:rsidRDefault="00F36B4E" w:rsidP="00737447">
            <w:pPr>
              <w:spacing w:line="360" w:lineRule="auto"/>
              <w:rPr>
                <w:rtl/>
              </w:rPr>
            </w:pPr>
            <w:r w:rsidRPr="008F60DD">
              <w:rPr>
                <w:rFonts w:hint="cs"/>
                <w:rtl/>
              </w:rPr>
              <w:t xml:space="preserve">זאב אלרון, התמורות בצה"ל והשינוי שלא היה בתפיסת הביטחון, 1952 </w:t>
            </w:r>
            <w:r w:rsidRPr="008F60DD">
              <w:rPr>
                <w:rtl/>
              </w:rPr>
              <w:t>–</w:t>
            </w:r>
            <w:r w:rsidRPr="008F60DD">
              <w:rPr>
                <w:rFonts w:hint="cs"/>
                <w:rtl/>
              </w:rPr>
              <w:t xml:space="preserve"> 1955, מודן, מושב בן שמן, מערכות, 2016.</w:t>
            </w:r>
          </w:p>
          <w:p w:rsidR="00F36B4E" w:rsidRPr="008F60DD" w:rsidRDefault="00F36B4E" w:rsidP="00737447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F36B4E" w:rsidRPr="008F60DD" w:rsidRDefault="00F36B4E" w:rsidP="0073744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36B4E" w:rsidRPr="008F60DD" w:rsidTr="00BA5B6F">
        <w:trPr>
          <w:jc w:val="center"/>
        </w:trPr>
        <w:tc>
          <w:tcPr>
            <w:tcW w:w="1349" w:type="dxa"/>
            <w:shd w:val="clear" w:color="auto" w:fill="auto"/>
          </w:tcPr>
          <w:p w:rsidR="00F36B4E" w:rsidRPr="008F60DD" w:rsidRDefault="00F36B4E" w:rsidP="00BA5B6F">
            <w:pPr>
              <w:spacing w:line="360" w:lineRule="auto"/>
              <w:rPr>
                <w:sz w:val="28"/>
                <w:szCs w:val="28"/>
                <w:rtl/>
              </w:rPr>
            </w:pPr>
            <w:r w:rsidRPr="008F60DD">
              <w:rPr>
                <w:rFonts w:hint="cs"/>
                <w:sz w:val="28"/>
                <w:szCs w:val="28"/>
                <w:rtl/>
              </w:rPr>
              <w:lastRenderedPageBreak/>
              <w:t>11</w:t>
            </w:r>
          </w:p>
        </w:tc>
        <w:tc>
          <w:tcPr>
            <w:tcW w:w="2178" w:type="dxa"/>
            <w:shd w:val="clear" w:color="auto" w:fill="auto"/>
          </w:tcPr>
          <w:p w:rsidR="00F36B4E" w:rsidRPr="008F60DD" w:rsidRDefault="00F36B4E" w:rsidP="00737447">
            <w:pPr>
              <w:spacing w:line="360" w:lineRule="auto"/>
              <w:rPr>
                <w:sz w:val="28"/>
                <w:szCs w:val="28"/>
              </w:rPr>
            </w:pPr>
            <w:r w:rsidRPr="008F60DD">
              <w:rPr>
                <w:rFonts w:hint="cs"/>
                <w:sz w:val="28"/>
                <w:szCs w:val="28"/>
                <w:rtl/>
              </w:rPr>
              <w:t xml:space="preserve">צה"ל והעלייה </w:t>
            </w:r>
            <w:r w:rsidRPr="008F60DD">
              <w:rPr>
                <w:sz w:val="28"/>
                <w:szCs w:val="28"/>
                <w:rtl/>
              </w:rPr>
              <w:t>–</w:t>
            </w:r>
            <w:r w:rsidRPr="008F60DD">
              <w:rPr>
                <w:rFonts w:hint="cs"/>
                <w:sz w:val="28"/>
                <w:szCs w:val="28"/>
                <w:rtl/>
              </w:rPr>
              <w:t xml:space="preserve"> 'כור היתוך' </w:t>
            </w:r>
          </w:p>
        </w:tc>
        <w:tc>
          <w:tcPr>
            <w:tcW w:w="1980" w:type="dxa"/>
            <w:shd w:val="clear" w:color="auto" w:fill="auto"/>
          </w:tcPr>
          <w:p w:rsidR="00F36B4E" w:rsidRPr="008F60DD" w:rsidRDefault="00F36B4E" w:rsidP="00737447">
            <w:pPr>
              <w:spacing w:line="360" w:lineRule="auto"/>
            </w:pPr>
            <w:r w:rsidRPr="008F60DD">
              <w:rPr>
                <w:rFonts w:hint="cs"/>
                <w:rtl/>
              </w:rPr>
              <w:t xml:space="preserve">שגיא </w:t>
            </w:r>
            <w:proofErr w:type="spellStart"/>
            <w:r w:rsidRPr="008F60DD">
              <w:rPr>
                <w:rFonts w:hint="cs"/>
                <w:rtl/>
              </w:rPr>
              <w:t>טורגן</w:t>
            </w:r>
            <w:proofErr w:type="spellEnd"/>
            <w:r w:rsidRPr="008F60DD">
              <w:rPr>
                <w:rFonts w:hint="cs"/>
                <w:rtl/>
              </w:rPr>
              <w:t xml:space="preserve">, כור ההיתוך, צה"ל כנקודת המפגש בין מגזרים, עולים ועדות בראשית שנות החמישים, בתוך: אלון קדיש (עורך), תש"ח ואילך, מחקרים של האסכולה הירושלמית על מלחמה, צבא וחברה, מודן, בן שמן, 2015. עמ' 332 </w:t>
            </w:r>
            <w:r w:rsidRPr="008F60DD">
              <w:rPr>
                <w:rtl/>
              </w:rPr>
              <w:t>–</w:t>
            </w:r>
            <w:r w:rsidRPr="008F60DD">
              <w:rPr>
                <w:rFonts w:hint="cs"/>
                <w:rtl/>
              </w:rPr>
              <w:t xml:space="preserve"> 350.</w:t>
            </w:r>
          </w:p>
        </w:tc>
        <w:tc>
          <w:tcPr>
            <w:tcW w:w="1980" w:type="dxa"/>
            <w:shd w:val="clear" w:color="auto" w:fill="auto"/>
          </w:tcPr>
          <w:p w:rsidR="00F36B4E" w:rsidRPr="008F60DD" w:rsidRDefault="00F36B4E" w:rsidP="0073744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36B4E" w:rsidRPr="008F60DD" w:rsidTr="00BA5B6F">
        <w:trPr>
          <w:jc w:val="center"/>
        </w:trPr>
        <w:tc>
          <w:tcPr>
            <w:tcW w:w="1349" w:type="dxa"/>
            <w:shd w:val="clear" w:color="auto" w:fill="auto"/>
          </w:tcPr>
          <w:p w:rsidR="00F36B4E" w:rsidRPr="008F60DD" w:rsidRDefault="00F36B4E" w:rsidP="00BA5B6F">
            <w:pPr>
              <w:spacing w:line="360" w:lineRule="auto"/>
              <w:rPr>
                <w:sz w:val="28"/>
                <w:szCs w:val="28"/>
                <w:rtl/>
              </w:rPr>
            </w:pPr>
            <w:r w:rsidRPr="008F60DD"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2178" w:type="dxa"/>
            <w:shd w:val="clear" w:color="auto" w:fill="auto"/>
          </w:tcPr>
          <w:p w:rsidR="00F36B4E" w:rsidRPr="008F60DD" w:rsidRDefault="00F36B4E" w:rsidP="00737447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היבטים מתודולוגיים של המחקר- היסטוריוגרפיה, זיכרון ותיעוד בע"פ.</w:t>
            </w:r>
          </w:p>
        </w:tc>
        <w:tc>
          <w:tcPr>
            <w:tcW w:w="1980" w:type="dxa"/>
            <w:shd w:val="clear" w:color="auto" w:fill="auto"/>
          </w:tcPr>
          <w:p w:rsidR="00F36B4E" w:rsidRPr="00060690" w:rsidRDefault="00F36B4E" w:rsidP="00737447">
            <w:pPr>
              <w:spacing w:line="360" w:lineRule="auto"/>
            </w:pPr>
            <w:r>
              <w:rPr>
                <w:rFonts w:hint="cs"/>
                <w:rtl/>
              </w:rPr>
              <w:t xml:space="preserve">יואב </w:t>
            </w:r>
            <w:proofErr w:type="spellStart"/>
            <w:r>
              <w:rPr>
                <w:rFonts w:hint="cs"/>
                <w:rtl/>
              </w:rPr>
              <w:t>גלבר</w:t>
            </w:r>
            <w:proofErr w:type="spellEnd"/>
            <w:r>
              <w:rPr>
                <w:rFonts w:hint="cs"/>
                <w:rtl/>
              </w:rPr>
              <w:t xml:space="preserve">, היסטוריה, זיכרון ותעמולה, הדיסציפלינה ההיסטורית בעולם ובארץ, עם עובד, תל אביב, 2007. עמ'251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296.</w:t>
            </w:r>
          </w:p>
        </w:tc>
        <w:tc>
          <w:tcPr>
            <w:tcW w:w="1980" w:type="dxa"/>
            <w:shd w:val="clear" w:color="auto" w:fill="auto"/>
          </w:tcPr>
          <w:p w:rsidR="00F36B4E" w:rsidRPr="008F60DD" w:rsidRDefault="00F36B4E" w:rsidP="0073744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00421" w:rsidRDefault="00B00421" w:rsidP="009D45E7">
      <w:pPr>
        <w:rPr>
          <w:rFonts w:ascii="Arial" w:hAnsi="Arial" w:cs="Arial"/>
          <w:rtl/>
        </w:rPr>
      </w:pPr>
    </w:p>
    <w:p w:rsidR="00082158" w:rsidRPr="00082158" w:rsidRDefault="00082158" w:rsidP="00082158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82158">
        <w:rPr>
          <w:rFonts w:asciiTheme="majorBidi" w:hAnsiTheme="majorBidi" w:cstheme="majorBidi"/>
          <w:b/>
          <w:bCs/>
          <w:sz w:val="28"/>
          <w:szCs w:val="28"/>
          <w:rtl/>
        </w:rPr>
        <w:t>ג. דרישות קדם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</w:p>
    <w:p w:rsidR="00082158" w:rsidRDefault="00082158" w:rsidP="009D45E7">
      <w:pPr>
        <w:rPr>
          <w:rFonts w:ascii="Arial" w:hAnsi="Arial" w:cs="Arial"/>
          <w:rtl/>
        </w:rPr>
      </w:pPr>
    </w:p>
    <w:p w:rsidR="00082158" w:rsidRPr="00082158" w:rsidRDefault="00082158" w:rsidP="009D45E7">
      <w:pPr>
        <w:rPr>
          <w:rFonts w:asciiTheme="majorBidi" w:hAnsiTheme="majorBidi" w:cstheme="majorBidi"/>
          <w:sz w:val="28"/>
          <w:szCs w:val="28"/>
          <w:rtl/>
        </w:rPr>
      </w:pPr>
      <w:r w:rsidRPr="00082158">
        <w:rPr>
          <w:rFonts w:asciiTheme="majorBidi" w:hAnsiTheme="majorBidi" w:cstheme="majorBidi"/>
          <w:sz w:val="28"/>
          <w:szCs w:val="28"/>
          <w:rtl/>
        </w:rPr>
        <w:t xml:space="preserve">חובה להשתתף באחד מקורסי המבוא של מלחמות ישראל. </w:t>
      </w:r>
    </w:p>
    <w:p w:rsidR="00082158" w:rsidRDefault="00082158" w:rsidP="009D45E7">
      <w:pPr>
        <w:rPr>
          <w:rFonts w:ascii="Arial" w:hAnsi="Arial" w:cs="Arial"/>
          <w:rtl/>
        </w:rPr>
      </w:pPr>
    </w:p>
    <w:p w:rsidR="00082158" w:rsidRDefault="00082158" w:rsidP="00082158">
      <w:pPr>
        <w:spacing w:line="360" w:lineRule="auto"/>
        <w:jc w:val="both"/>
        <w:rPr>
          <w:b/>
          <w:bCs/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>ד. חובות / דרישות / מטלות:</w:t>
      </w:r>
    </w:p>
    <w:p w:rsidR="00082158" w:rsidRDefault="00082158" w:rsidP="00082158">
      <w:pPr>
        <w:spacing w:line="360" w:lineRule="auto"/>
        <w:jc w:val="both"/>
        <w:rPr>
          <w:sz w:val="28"/>
          <w:szCs w:val="28"/>
          <w:rtl/>
        </w:rPr>
      </w:pPr>
      <w:r w:rsidRPr="00082158">
        <w:rPr>
          <w:rFonts w:hint="cs"/>
          <w:sz w:val="28"/>
          <w:szCs w:val="28"/>
          <w:rtl/>
        </w:rPr>
        <w:t xml:space="preserve">80% חובת נוכחות במהלך הסמינריון. </w:t>
      </w:r>
    </w:p>
    <w:p w:rsidR="00082158" w:rsidRDefault="00082158" w:rsidP="00082158">
      <w:pPr>
        <w:spacing w:line="360" w:lineRule="auto"/>
        <w:jc w:val="both"/>
        <w:rPr>
          <w:b/>
          <w:bCs/>
          <w:sz w:val="28"/>
          <w:szCs w:val="28"/>
          <w:rtl/>
        </w:rPr>
      </w:pPr>
      <w:r w:rsidRPr="00082158">
        <w:rPr>
          <w:rFonts w:hint="cs"/>
          <w:b/>
          <w:bCs/>
          <w:sz w:val="28"/>
          <w:szCs w:val="28"/>
          <w:rtl/>
        </w:rPr>
        <w:t>ה. מרכיבי הציון הסופי</w:t>
      </w:r>
      <w:r>
        <w:rPr>
          <w:rFonts w:hint="cs"/>
          <w:b/>
          <w:bCs/>
          <w:sz w:val="28"/>
          <w:szCs w:val="28"/>
          <w:rtl/>
        </w:rPr>
        <w:t>:</w:t>
      </w:r>
    </w:p>
    <w:p w:rsidR="00082158" w:rsidRPr="00082158" w:rsidRDefault="00082158" w:rsidP="00082158">
      <w:pPr>
        <w:spacing w:line="360" w:lineRule="auto"/>
        <w:jc w:val="both"/>
        <w:rPr>
          <w:sz w:val="28"/>
          <w:szCs w:val="28"/>
          <w:rtl/>
        </w:rPr>
      </w:pPr>
      <w:r w:rsidRPr="00082158">
        <w:rPr>
          <w:rFonts w:hint="cs"/>
          <w:sz w:val="28"/>
          <w:szCs w:val="28"/>
          <w:rtl/>
        </w:rPr>
        <w:t>עבודה סמינריונית ונוכחות בשיעורים</w:t>
      </w:r>
      <w:r>
        <w:rPr>
          <w:rFonts w:hint="cs"/>
          <w:sz w:val="28"/>
          <w:szCs w:val="28"/>
          <w:rtl/>
        </w:rPr>
        <w:t>.</w:t>
      </w:r>
    </w:p>
    <w:p w:rsidR="00082158" w:rsidRDefault="00082158" w:rsidP="00082158">
      <w:pPr>
        <w:spacing w:line="360" w:lineRule="auto"/>
        <w:ind w:left="26"/>
        <w:rPr>
          <w:b/>
          <w:bCs/>
          <w:sz w:val="28"/>
          <w:szCs w:val="28"/>
          <w:rtl/>
        </w:rPr>
      </w:pPr>
    </w:p>
    <w:p w:rsidR="00082158" w:rsidRPr="003C070F" w:rsidRDefault="00082158" w:rsidP="00082158">
      <w:pPr>
        <w:spacing w:line="360" w:lineRule="auto"/>
        <w:ind w:left="26"/>
        <w:rPr>
          <w:b/>
          <w:bCs/>
          <w:color w:val="000000"/>
          <w:sz w:val="28"/>
          <w:szCs w:val="28"/>
        </w:rPr>
      </w:pPr>
      <w:r w:rsidRPr="003C070F">
        <w:rPr>
          <w:b/>
          <w:bCs/>
          <w:sz w:val="28"/>
          <w:szCs w:val="28"/>
          <w:rtl/>
        </w:rPr>
        <w:t>ו. ביבליוגרפיה</w:t>
      </w:r>
      <w:r w:rsidRPr="003C070F">
        <w:rPr>
          <w:b/>
          <w:bCs/>
          <w:color w:val="000000"/>
          <w:sz w:val="28"/>
          <w:szCs w:val="28"/>
          <w:rtl/>
        </w:rPr>
        <w:t>:</w:t>
      </w:r>
    </w:p>
    <w:p w:rsidR="009D45E7" w:rsidRPr="008F60DD" w:rsidRDefault="009D45E7" w:rsidP="009D45E7">
      <w:pPr>
        <w:rPr>
          <w:rFonts w:ascii="Arial" w:hAnsi="Arial" w:cs="Arial"/>
        </w:rPr>
      </w:pPr>
      <w:r w:rsidRPr="008F60DD">
        <w:rPr>
          <w:rFonts w:ascii="Arial" w:hAnsi="Arial" w:cs="Arial"/>
          <w:rtl/>
        </w:rPr>
        <w:t xml:space="preserve">        </w:t>
      </w:r>
    </w:p>
    <w:p w:rsidR="00A163F7" w:rsidRPr="008F60DD" w:rsidRDefault="00A163F7" w:rsidP="006C1327">
      <w:pPr>
        <w:spacing w:line="360" w:lineRule="auto"/>
        <w:rPr>
          <w:sz w:val="28"/>
          <w:szCs w:val="28"/>
          <w:rtl/>
        </w:rPr>
      </w:pPr>
      <w:r w:rsidRPr="008F60DD">
        <w:rPr>
          <w:rFonts w:hint="cs"/>
          <w:sz w:val="28"/>
          <w:szCs w:val="28"/>
          <w:rtl/>
        </w:rPr>
        <w:t>בני</w:t>
      </w:r>
      <w:r w:rsidR="006C1327" w:rsidRPr="008F60DD">
        <w:rPr>
          <w:rFonts w:hint="cs"/>
          <w:sz w:val="28"/>
          <w:szCs w:val="28"/>
          <w:rtl/>
        </w:rPr>
        <w:t xml:space="preserve"> </w:t>
      </w:r>
      <w:r w:rsidRPr="008F60DD">
        <w:rPr>
          <w:rFonts w:hint="cs"/>
          <w:sz w:val="28"/>
          <w:szCs w:val="28"/>
          <w:rtl/>
        </w:rPr>
        <w:t xml:space="preserve">מוריס, מלחמות הגבול של ישראל 1949 </w:t>
      </w:r>
      <w:r w:rsidRPr="008F60DD">
        <w:rPr>
          <w:sz w:val="28"/>
          <w:szCs w:val="28"/>
          <w:rtl/>
        </w:rPr>
        <w:t>–</w:t>
      </w:r>
      <w:r w:rsidRPr="008F60DD">
        <w:rPr>
          <w:rFonts w:hint="cs"/>
          <w:sz w:val="28"/>
          <w:szCs w:val="28"/>
          <w:rtl/>
        </w:rPr>
        <w:t xml:space="preserve"> 1956, תל אביב 1996.</w:t>
      </w:r>
    </w:p>
    <w:p w:rsidR="006C1327" w:rsidRPr="008F60DD" w:rsidRDefault="006C1327" w:rsidP="006C1327">
      <w:pPr>
        <w:spacing w:line="360" w:lineRule="auto"/>
        <w:rPr>
          <w:sz w:val="28"/>
          <w:szCs w:val="28"/>
          <w:rtl/>
        </w:rPr>
      </w:pPr>
      <w:r w:rsidRPr="008F60DD">
        <w:rPr>
          <w:rFonts w:hint="cs"/>
          <w:sz w:val="28"/>
          <w:szCs w:val="28"/>
          <w:rtl/>
        </w:rPr>
        <w:t xml:space="preserve">בני מוריס, לידתה של בעיית הפליטים הפלסטינים 1947 </w:t>
      </w:r>
      <w:r w:rsidRPr="008F60DD">
        <w:rPr>
          <w:sz w:val="28"/>
          <w:szCs w:val="28"/>
          <w:rtl/>
        </w:rPr>
        <w:t>–</w:t>
      </w:r>
      <w:r w:rsidRPr="008F60DD">
        <w:rPr>
          <w:rFonts w:hint="cs"/>
          <w:sz w:val="28"/>
          <w:szCs w:val="28"/>
          <w:rtl/>
        </w:rPr>
        <w:t xml:space="preserve"> 1949, תל אביב, תשנ"א. </w:t>
      </w:r>
    </w:p>
    <w:p w:rsidR="00837A62" w:rsidRPr="008F60DD" w:rsidRDefault="00A163F7" w:rsidP="00A163F7">
      <w:pPr>
        <w:spacing w:line="360" w:lineRule="auto"/>
        <w:rPr>
          <w:sz w:val="28"/>
          <w:szCs w:val="28"/>
          <w:rtl/>
        </w:rPr>
      </w:pPr>
      <w:r w:rsidRPr="008F60DD">
        <w:rPr>
          <w:rFonts w:hint="cs"/>
          <w:sz w:val="28"/>
          <w:szCs w:val="28"/>
          <w:rtl/>
        </w:rPr>
        <w:t xml:space="preserve">מוטי גולני, תהיה מלחמה בקיץ...ישראל בדרך אל מלחמת סיני, 1955 </w:t>
      </w:r>
      <w:r w:rsidRPr="008F60DD">
        <w:rPr>
          <w:sz w:val="28"/>
          <w:szCs w:val="28"/>
          <w:rtl/>
        </w:rPr>
        <w:t>–</w:t>
      </w:r>
      <w:r w:rsidRPr="008F60DD">
        <w:rPr>
          <w:rFonts w:hint="cs"/>
          <w:sz w:val="28"/>
          <w:szCs w:val="28"/>
          <w:rtl/>
        </w:rPr>
        <w:t xml:space="preserve"> 1956, מערכות, תל אביב, 1996.</w:t>
      </w:r>
    </w:p>
    <w:p w:rsidR="0085105F" w:rsidRPr="008F60DD" w:rsidRDefault="00837A62" w:rsidP="0085105F">
      <w:pPr>
        <w:spacing w:line="360" w:lineRule="auto"/>
        <w:rPr>
          <w:sz w:val="28"/>
          <w:szCs w:val="28"/>
          <w:rtl/>
        </w:rPr>
      </w:pPr>
      <w:r w:rsidRPr="008F60DD">
        <w:rPr>
          <w:rFonts w:hint="cs"/>
          <w:sz w:val="28"/>
          <w:szCs w:val="28"/>
          <w:rtl/>
        </w:rPr>
        <w:t xml:space="preserve">מוטי גולני, </w:t>
      </w:r>
      <w:r w:rsidR="00A163F7" w:rsidRPr="008F60DD">
        <w:rPr>
          <w:rFonts w:hint="cs"/>
          <w:sz w:val="28"/>
          <w:szCs w:val="28"/>
          <w:rtl/>
        </w:rPr>
        <w:t xml:space="preserve"> </w:t>
      </w:r>
      <w:r w:rsidR="0085105F" w:rsidRPr="008F60DD">
        <w:rPr>
          <w:rFonts w:hint="cs"/>
          <w:sz w:val="28"/>
          <w:szCs w:val="28"/>
          <w:rtl/>
        </w:rPr>
        <w:t xml:space="preserve">בן גוריון נגד דיין או בעקבותיו? ישראל בדרך אל המלחמה היזומה, קתדרה, 81 (תשנ"ז), עמ' 123 </w:t>
      </w:r>
      <w:r w:rsidR="0085105F" w:rsidRPr="008F60DD">
        <w:rPr>
          <w:sz w:val="28"/>
          <w:szCs w:val="28"/>
          <w:rtl/>
        </w:rPr>
        <w:t>–</w:t>
      </w:r>
      <w:r w:rsidR="0085105F" w:rsidRPr="008F60DD">
        <w:rPr>
          <w:rFonts w:hint="cs"/>
          <w:sz w:val="28"/>
          <w:szCs w:val="28"/>
          <w:rtl/>
        </w:rPr>
        <w:t xml:space="preserve"> 132.</w:t>
      </w:r>
    </w:p>
    <w:p w:rsidR="000A68E4" w:rsidRPr="008F60DD" w:rsidRDefault="000A68E4" w:rsidP="000A68E4">
      <w:pPr>
        <w:spacing w:line="360" w:lineRule="auto"/>
        <w:rPr>
          <w:sz w:val="28"/>
          <w:szCs w:val="28"/>
          <w:rtl/>
        </w:rPr>
      </w:pPr>
      <w:r w:rsidRPr="008F60DD">
        <w:rPr>
          <w:rFonts w:hint="cs"/>
          <w:sz w:val="28"/>
          <w:szCs w:val="28"/>
          <w:rtl/>
        </w:rPr>
        <w:t xml:space="preserve">דוד טל, תפיסת הביטחון השוטף של ישראל, מקורותיה והתפתחותה, 1949 </w:t>
      </w:r>
      <w:r w:rsidRPr="008F60DD">
        <w:rPr>
          <w:sz w:val="28"/>
          <w:szCs w:val="28"/>
          <w:rtl/>
        </w:rPr>
        <w:t>–</w:t>
      </w:r>
      <w:r w:rsidR="00837A62" w:rsidRPr="008F60DD">
        <w:rPr>
          <w:rFonts w:hint="cs"/>
          <w:sz w:val="28"/>
          <w:szCs w:val="28"/>
          <w:rtl/>
        </w:rPr>
        <w:t xml:space="preserve"> 1956, שדה בוקר, תשנ"ח.</w:t>
      </w:r>
    </w:p>
    <w:p w:rsidR="00E71FE7" w:rsidRPr="008F60DD" w:rsidRDefault="00E71FE7" w:rsidP="000A68E4">
      <w:pPr>
        <w:spacing w:line="360" w:lineRule="auto"/>
        <w:rPr>
          <w:sz w:val="28"/>
          <w:szCs w:val="28"/>
          <w:rtl/>
        </w:rPr>
      </w:pPr>
      <w:r w:rsidRPr="008F60DD">
        <w:rPr>
          <w:rFonts w:hint="cs"/>
          <w:sz w:val="28"/>
          <w:szCs w:val="28"/>
          <w:rtl/>
        </w:rPr>
        <w:t xml:space="preserve">דוד טל, בין בן גוריון שרת ודיין: המאבק על היזמה למלחמת מנע, 1955. קתדרה, 81 (תשנ"ז), עמ' 109 </w:t>
      </w:r>
      <w:r w:rsidRPr="008F60DD">
        <w:rPr>
          <w:sz w:val="28"/>
          <w:szCs w:val="28"/>
          <w:rtl/>
        </w:rPr>
        <w:t>–</w:t>
      </w:r>
      <w:r w:rsidRPr="008F60DD">
        <w:rPr>
          <w:rFonts w:hint="cs"/>
          <w:sz w:val="28"/>
          <w:szCs w:val="28"/>
          <w:rtl/>
        </w:rPr>
        <w:t xml:space="preserve"> 122.</w:t>
      </w:r>
    </w:p>
    <w:p w:rsidR="008A64DF" w:rsidRPr="008F60DD" w:rsidRDefault="008A64DF" w:rsidP="008A64DF">
      <w:pPr>
        <w:spacing w:line="360" w:lineRule="auto"/>
        <w:rPr>
          <w:sz w:val="28"/>
          <w:szCs w:val="28"/>
          <w:rtl/>
        </w:rPr>
      </w:pPr>
      <w:r w:rsidRPr="008F60DD">
        <w:rPr>
          <w:rFonts w:hint="cs"/>
          <w:sz w:val="28"/>
          <w:szCs w:val="28"/>
          <w:rtl/>
        </w:rPr>
        <w:t xml:space="preserve">זכי שלום, מדיניות בצל מחלוקת: מדיניות הביטחון השוטף של ישראל, 1949 </w:t>
      </w:r>
      <w:r w:rsidRPr="008F60DD">
        <w:rPr>
          <w:sz w:val="28"/>
          <w:szCs w:val="28"/>
          <w:rtl/>
        </w:rPr>
        <w:t>–</w:t>
      </w:r>
      <w:r w:rsidRPr="008F60DD">
        <w:rPr>
          <w:rFonts w:hint="cs"/>
          <w:sz w:val="28"/>
          <w:szCs w:val="28"/>
          <w:rtl/>
        </w:rPr>
        <w:t xml:space="preserve"> 1956, שדה בוקר, תשנ"ה. עמ'</w:t>
      </w:r>
    </w:p>
    <w:p w:rsidR="009D45E7" w:rsidRPr="008F60DD" w:rsidRDefault="0069472F" w:rsidP="009D45E7">
      <w:pPr>
        <w:spacing w:line="360" w:lineRule="auto"/>
        <w:rPr>
          <w:sz w:val="28"/>
          <w:szCs w:val="28"/>
          <w:rtl/>
        </w:rPr>
      </w:pPr>
      <w:r w:rsidRPr="008F60DD">
        <w:rPr>
          <w:rFonts w:hint="cs"/>
          <w:sz w:val="28"/>
          <w:szCs w:val="28"/>
          <w:rtl/>
        </w:rPr>
        <w:t xml:space="preserve">מרדכי בר-און, סטטוס-קוו - לפני או אחרי? הערות פרשנות למדיניות הביטחון של ישראל 1949 </w:t>
      </w:r>
      <w:r w:rsidRPr="008F60DD">
        <w:rPr>
          <w:sz w:val="28"/>
          <w:szCs w:val="28"/>
          <w:rtl/>
        </w:rPr>
        <w:t>–</w:t>
      </w:r>
      <w:r w:rsidRPr="008F60DD">
        <w:rPr>
          <w:rFonts w:hint="cs"/>
          <w:sz w:val="28"/>
          <w:szCs w:val="28"/>
          <w:rtl/>
        </w:rPr>
        <w:t xml:space="preserve"> 1958, עיונים בתקומת ישראל, 5 , (1995) עמ' 65 </w:t>
      </w:r>
      <w:r w:rsidRPr="008F60DD">
        <w:rPr>
          <w:sz w:val="28"/>
          <w:szCs w:val="28"/>
          <w:rtl/>
        </w:rPr>
        <w:t>–</w:t>
      </w:r>
      <w:r w:rsidRPr="008F60DD">
        <w:rPr>
          <w:rFonts w:hint="cs"/>
          <w:sz w:val="28"/>
          <w:szCs w:val="28"/>
          <w:rtl/>
        </w:rPr>
        <w:t xml:space="preserve"> 111.</w:t>
      </w:r>
    </w:p>
    <w:p w:rsidR="00E71FE7" w:rsidRPr="008F60DD" w:rsidRDefault="00C85A98" w:rsidP="009D45E7">
      <w:pPr>
        <w:spacing w:line="360" w:lineRule="auto"/>
        <w:rPr>
          <w:sz w:val="28"/>
          <w:szCs w:val="28"/>
          <w:rtl/>
        </w:rPr>
      </w:pPr>
      <w:r w:rsidRPr="008F60DD">
        <w:rPr>
          <w:rFonts w:hint="cs"/>
          <w:sz w:val="28"/>
          <w:szCs w:val="28"/>
          <w:rtl/>
        </w:rPr>
        <w:t xml:space="preserve">שגיא </w:t>
      </w:r>
      <w:proofErr w:type="spellStart"/>
      <w:r w:rsidRPr="008F60DD">
        <w:rPr>
          <w:rFonts w:hint="cs"/>
          <w:sz w:val="28"/>
          <w:szCs w:val="28"/>
          <w:rtl/>
        </w:rPr>
        <w:t>טורגן</w:t>
      </w:r>
      <w:proofErr w:type="spellEnd"/>
      <w:r w:rsidRPr="008F60DD">
        <w:rPr>
          <w:rFonts w:hint="cs"/>
          <w:sz w:val="28"/>
          <w:szCs w:val="28"/>
          <w:rtl/>
        </w:rPr>
        <w:t xml:space="preserve">, כור ההיתוך, צה"ל כנקודת המפגש בין מגזרים, עולים ועדות בראשית שנות החמישים, בתוך: אלון קדיש (עורך), תש"ח ואילך, מחקרים של האסכולה הירושלמית על מלחמה, צבא וחברה, מודן, בן שמן, 2015. עמ' 332 </w:t>
      </w:r>
      <w:r w:rsidRPr="008F60DD">
        <w:rPr>
          <w:sz w:val="28"/>
          <w:szCs w:val="28"/>
          <w:rtl/>
        </w:rPr>
        <w:t>–</w:t>
      </w:r>
      <w:r w:rsidRPr="008F60DD">
        <w:rPr>
          <w:rFonts w:hint="cs"/>
          <w:sz w:val="28"/>
          <w:szCs w:val="28"/>
          <w:rtl/>
        </w:rPr>
        <w:t xml:space="preserve"> 350.</w:t>
      </w:r>
    </w:p>
    <w:p w:rsidR="00837A62" w:rsidRPr="008F60DD" w:rsidRDefault="0018289A" w:rsidP="009D45E7">
      <w:pPr>
        <w:spacing w:line="360" w:lineRule="auto"/>
        <w:rPr>
          <w:sz w:val="28"/>
          <w:szCs w:val="28"/>
          <w:rtl/>
        </w:rPr>
      </w:pPr>
      <w:r w:rsidRPr="008F60DD">
        <w:rPr>
          <w:rFonts w:hint="cs"/>
          <w:sz w:val="28"/>
          <w:szCs w:val="28"/>
          <w:rtl/>
        </w:rPr>
        <w:t xml:space="preserve">זאב אלרון, התמורות בצה"ל והשינוי שלא היה בתפיסת הביטחון, 1952 </w:t>
      </w:r>
      <w:r w:rsidRPr="008F60DD">
        <w:rPr>
          <w:sz w:val="28"/>
          <w:szCs w:val="28"/>
          <w:rtl/>
        </w:rPr>
        <w:t>–</w:t>
      </w:r>
      <w:r w:rsidRPr="008F60DD">
        <w:rPr>
          <w:rFonts w:hint="cs"/>
          <w:sz w:val="28"/>
          <w:szCs w:val="28"/>
          <w:rtl/>
        </w:rPr>
        <w:t xml:space="preserve"> 1955, מודן, מושב בן שמן, מערכות, 2016.</w:t>
      </w:r>
    </w:p>
    <w:p w:rsidR="008A64DF" w:rsidRPr="008F60DD" w:rsidRDefault="008A64DF" w:rsidP="009D45E7">
      <w:pPr>
        <w:spacing w:line="360" w:lineRule="auto"/>
        <w:rPr>
          <w:sz w:val="28"/>
          <w:szCs w:val="28"/>
          <w:rtl/>
        </w:rPr>
      </w:pPr>
    </w:p>
    <w:p w:rsidR="00C97293" w:rsidRPr="00D1401A" w:rsidRDefault="00082158">
      <w:pPr>
        <w:rPr>
          <w:sz w:val="28"/>
          <w:szCs w:val="28"/>
          <w:rtl/>
        </w:rPr>
      </w:pPr>
      <w:r w:rsidRPr="00D1401A">
        <w:rPr>
          <w:rFonts w:hint="cs"/>
          <w:sz w:val="28"/>
          <w:szCs w:val="28"/>
          <w:rtl/>
        </w:rPr>
        <w:t xml:space="preserve">שם הקורס באנגלית : </w:t>
      </w:r>
    </w:p>
    <w:p w:rsidR="00082158" w:rsidRPr="00D1401A" w:rsidRDefault="00082158" w:rsidP="00CA44B5">
      <w:pPr>
        <w:rPr>
          <w:sz w:val="28"/>
          <w:szCs w:val="28"/>
        </w:rPr>
      </w:pPr>
      <w:r w:rsidRPr="00D1401A">
        <w:rPr>
          <w:sz w:val="28"/>
          <w:szCs w:val="28"/>
        </w:rPr>
        <w:t>The Security Problem</w:t>
      </w:r>
      <w:r w:rsidR="00D1401A">
        <w:rPr>
          <w:sz w:val="28"/>
          <w:szCs w:val="28"/>
        </w:rPr>
        <w:t xml:space="preserve">s of the </w:t>
      </w:r>
      <w:r w:rsidR="00CA44B5">
        <w:rPr>
          <w:sz w:val="28"/>
          <w:szCs w:val="28"/>
        </w:rPr>
        <w:t>state of Israel during</w:t>
      </w:r>
      <w:r w:rsidR="00D1401A">
        <w:rPr>
          <w:sz w:val="28"/>
          <w:szCs w:val="28"/>
        </w:rPr>
        <w:t xml:space="preserve"> the</w:t>
      </w:r>
      <w:r w:rsidR="00D1401A" w:rsidRPr="00D1401A">
        <w:rPr>
          <w:sz w:val="28"/>
          <w:szCs w:val="28"/>
        </w:rPr>
        <w:t xml:space="preserve"> </w:t>
      </w:r>
      <w:r w:rsidRPr="00D1401A">
        <w:rPr>
          <w:sz w:val="28"/>
          <w:szCs w:val="28"/>
        </w:rPr>
        <w:t>first</w:t>
      </w:r>
      <w:r w:rsidR="00D1401A" w:rsidRPr="00D1401A">
        <w:rPr>
          <w:sz w:val="28"/>
          <w:szCs w:val="28"/>
        </w:rPr>
        <w:t xml:space="preserve"> decade.</w:t>
      </w:r>
    </w:p>
    <w:sectPr w:rsidR="00082158" w:rsidRPr="00D1401A" w:rsidSect="00C255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E7"/>
    <w:rsid w:val="00046606"/>
    <w:rsid w:val="00060690"/>
    <w:rsid w:val="00082158"/>
    <w:rsid w:val="000A68E4"/>
    <w:rsid w:val="000C2BA0"/>
    <w:rsid w:val="000D4613"/>
    <w:rsid w:val="000E33A4"/>
    <w:rsid w:val="0018289A"/>
    <w:rsid w:val="001E6859"/>
    <w:rsid w:val="0023714D"/>
    <w:rsid w:val="00270FF7"/>
    <w:rsid w:val="002E3AD0"/>
    <w:rsid w:val="002F14E1"/>
    <w:rsid w:val="00463537"/>
    <w:rsid w:val="004B2B70"/>
    <w:rsid w:val="005009AA"/>
    <w:rsid w:val="00544158"/>
    <w:rsid w:val="00544FA7"/>
    <w:rsid w:val="0056331F"/>
    <w:rsid w:val="005837F1"/>
    <w:rsid w:val="005C4CD5"/>
    <w:rsid w:val="005E5BDF"/>
    <w:rsid w:val="00602377"/>
    <w:rsid w:val="00616DA3"/>
    <w:rsid w:val="00630240"/>
    <w:rsid w:val="00680D0B"/>
    <w:rsid w:val="0068764E"/>
    <w:rsid w:val="0069472F"/>
    <w:rsid w:val="006C1327"/>
    <w:rsid w:val="00761FA8"/>
    <w:rsid w:val="0076357C"/>
    <w:rsid w:val="007D3D21"/>
    <w:rsid w:val="00837A62"/>
    <w:rsid w:val="0085105F"/>
    <w:rsid w:val="00891427"/>
    <w:rsid w:val="008A64DF"/>
    <w:rsid w:val="008D3F23"/>
    <w:rsid w:val="008D7358"/>
    <w:rsid w:val="008F2345"/>
    <w:rsid w:val="008F60DD"/>
    <w:rsid w:val="008F6C6A"/>
    <w:rsid w:val="00921120"/>
    <w:rsid w:val="009477BB"/>
    <w:rsid w:val="0096265F"/>
    <w:rsid w:val="0096798F"/>
    <w:rsid w:val="00970860"/>
    <w:rsid w:val="00973CE8"/>
    <w:rsid w:val="009868FA"/>
    <w:rsid w:val="009A69BA"/>
    <w:rsid w:val="009D45E7"/>
    <w:rsid w:val="009D5D00"/>
    <w:rsid w:val="009E4589"/>
    <w:rsid w:val="00A00ED5"/>
    <w:rsid w:val="00A16206"/>
    <w:rsid w:val="00A163F7"/>
    <w:rsid w:val="00A47432"/>
    <w:rsid w:val="00A90035"/>
    <w:rsid w:val="00AD1CCE"/>
    <w:rsid w:val="00B0005A"/>
    <w:rsid w:val="00B00421"/>
    <w:rsid w:val="00B0726D"/>
    <w:rsid w:val="00B82DB5"/>
    <w:rsid w:val="00BA5B6F"/>
    <w:rsid w:val="00BA7624"/>
    <w:rsid w:val="00C07ED8"/>
    <w:rsid w:val="00C1633F"/>
    <w:rsid w:val="00C228A2"/>
    <w:rsid w:val="00C255D6"/>
    <w:rsid w:val="00C3626D"/>
    <w:rsid w:val="00C758B5"/>
    <w:rsid w:val="00C85A98"/>
    <w:rsid w:val="00C97293"/>
    <w:rsid w:val="00CA44B5"/>
    <w:rsid w:val="00CD3F4E"/>
    <w:rsid w:val="00D03DC1"/>
    <w:rsid w:val="00D1401A"/>
    <w:rsid w:val="00D31B85"/>
    <w:rsid w:val="00D44F01"/>
    <w:rsid w:val="00D56949"/>
    <w:rsid w:val="00D655B0"/>
    <w:rsid w:val="00E02FFA"/>
    <w:rsid w:val="00E06FED"/>
    <w:rsid w:val="00E17431"/>
    <w:rsid w:val="00E326A0"/>
    <w:rsid w:val="00E4613B"/>
    <w:rsid w:val="00E47C35"/>
    <w:rsid w:val="00E71FE7"/>
    <w:rsid w:val="00E87811"/>
    <w:rsid w:val="00EA1287"/>
    <w:rsid w:val="00EA572D"/>
    <w:rsid w:val="00EF5240"/>
    <w:rsid w:val="00F36B4E"/>
    <w:rsid w:val="00F61D51"/>
    <w:rsid w:val="00FC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F08CB4-FBD7-4ACE-BE81-FC210BC5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5E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BA0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0C2BA0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719</Words>
  <Characters>3597</Characters>
  <Application>Microsoft Office Word</Application>
  <DocSecurity>4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Gadk</dc:creator>
  <cp:lastModifiedBy>Tamar Magen-elbaz</cp:lastModifiedBy>
  <cp:revision>2</cp:revision>
  <cp:lastPrinted>2018-04-24T10:54:00Z</cp:lastPrinted>
  <dcterms:created xsi:type="dcterms:W3CDTF">2018-04-24T11:01:00Z</dcterms:created>
  <dcterms:modified xsi:type="dcterms:W3CDTF">2018-04-24T11:01:00Z</dcterms:modified>
</cp:coreProperties>
</file>