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4F" w:rsidRPr="00D77B34" w:rsidRDefault="004C7A4F" w:rsidP="004C7A4F">
      <w:pPr>
        <w:spacing w:line="360" w:lineRule="auto"/>
        <w:rPr>
          <w:rFonts w:hint="cs"/>
          <w:bCs/>
          <w:rtl/>
        </w:rPr>
      </w:pPr>
    </w:p>
    <w:p w:rsidR="004C7A4F" w:rsidRPr="00D77B34" w:rsidRDefault="004C7A4F" w:rsidP="004C7A4F">
      <w:pPr>
        <w:spacing w:line="360" w:lineRule="auto"/>
        <w:jc w:val="center"/>
        <w:rPr>
          <w:bCs/>
        </w:rPr>
      </w:pPr>
      <w:r w:rsidRPr="00D77B34">
        <w:rPr>
          <w:bCs/>
        </w:rPr>
        <w:t>"</w:t>
      </w:r>
      <w:r w:rsidRPr="00D77B34">
        <w:rPr>
          <w:bCs/>
          <w:rtl/>
        </w:rPr>
        <w:t>משחקי הכס" - ישראל, יהודה ופלשת תחת השפעת הארמים והאימפריה האשורית</w:t>
      </w:r>
      <w:r w:rsidRPr="00D77B34">
        <w:rPr>
          <w:bCs/>
        </w:rPr>
        <w:t>.</w:t>
      </w:r>
    </w:p>
    <w:p w:rsidR="004C7A4F" w:rsidRPr="00D77B34" w:rsidRDefault="004C7A4F" w:rsidP="004C7A4F">
      <w:pPr>
        <w:spacing w:line="360" w:lineRule="auto"/>
        <w:jc w:val="center"/>
        <w:rPr>
          <w:bCs/>
        </w:rPr>
      </w:pPr>
    </w:p>
    <w:p w:rsidR="004C7A4F" w:rsidRPr="00D77B34" w:rsidRDefault="004C7A4F" w:rsidP="004C7A4F">
      <w:pPr>
        <w:bidi w:val="0"/>
        <w:spacing w:line="360" w:lineRule="auto"/>
        <w:jc w:val="center"/>
        <w:rPr>
          <w:b/>
        </w:rPr>
      </w:pPr>
      <w:r w:rsidRPr="00D77B34">
        <w:rPr>
          <w:b/>
        </w:rPr>
        <w:t xml:space="preserve">“Games of the Throne" - Israel, Judea and Philistia under the influence of the </w:t>
      </w:r>
    </w:p>
    <w:p w:rsidR="004C7A4F" w:rsidRPr="00D77B34" w:rsidRDefault="004C7A4F" w:rsidP="004C7A4F">
      <w:pPr>
        <w:bidi w:val="0"/>
        <w:spacing w:line="360" w:lineRule="auto"/>
        <w:jc w:val="center"/>
        <w:rPr>
          <w:b/>
          <w:rtl/>
        </w:rPr>
      </w:pPr>
      <w:r w:rsidRPr="00D77B34">
        <w:rPr>
          <w:b/>
        </w:rPr>
        <w:t>Arameans and the Assyrian Empire</w:t>
      </w:r>
      <w:r w:rsidRPr="00D77B34">
        <w:rPr>
          <w:b/>
          <w:rtl/>
        </w:rPr>
        <w:t>.</w:t>
      </w:r>
    </w:p>
    <w:p w:rsidR="004C7A4F" w:rsidRDefault="004C7A4F" w:rsidP="004C7A4F">
      <w:pPr>
        <w:spacing w:line="360" w:lineRule="auto"/>
        <w:rPr>
          <w:bCs/>
        </w:rPr>
      </w:pPr>
    </w:p>
    <w:p w:rsidR="004C7A4F" w:rsidRPr="00D77B34" w:rsidRDefault="004C7A4F" w:rsidP="004C7A4F">
      <w:pPr>
        <w:spacing w:line="360" w:lineRule="auto"/>
        <w:rPr>
          <w:bCs/>
          <w:rtl/>
        </w:rPr>
      </w:pPr>
      <w:r w:rsidRPr="00D77B34">
        <w:rPr>
          <w:bCs/>
          <w:rtl/>
        </w:rPr>
        <w:t>שם המרצה:</w:t>
      </w:r>
      <w:r w:rsidRPr="00D77B34">
        <w:rPr>
          <w:bCs/>
        </w:rPr>
        <w:t xml:space="preserve"> </w:t>
      </w:r>
      <w:r w:rsidRPr="00D77B34">
        <w:rPr>
          <w:bCs/>
          <w:rtl/>
        </w:rPr>
        <w:t xml:space="preserve">ד"ר עמית דגן </w:t>
      </w:r>
    </w:p>
    <w:p w:rsidR="004C7A4F" w:rsidRDefault="004C7A4F" w:rsidP="004C7A4F">
      <w:pPr>
        <w:spacing w:line="360" w:lineRule="auto"/>
        <w:rPr>
          <w:bCs/>
        </w:rPr>
      </w:pPr>
      <w:r w:rsidRPr="00D77B34">
        <w:rPr>
          <w:bCs/>
          <w:rtl/>
        </w:rPr>
        <w:t xml:space="preserve">סוג הקורס: </w:t>
      </w:r>
      <w:r>
        <w:rPr>
          <w:rFonts w:hint="cs"/>
          <w:bCs/>
          <w:rtl/>
        </w:rPr>
        <w:t>הרצאה</w:t>
      </w:r>
    </w:p>
    <w:p w:rsidR="004C7A4F" w:rsidRPr="00D77B34" w:rsidRDefault="004C7A4F" w:rsidP="004C7A4F">
      <w:pPr>
        <w:spacing w:line="360" w:lineRule="auto"/>
        <w:rPr>
          <w:rFonts w:hint="cs"/>
          <w:bCs/>
          <w:rtl/>
        </w:rPr>
      </w:pPr>
      <w:r>
        <w:rPr>
          <w:rFonts w:hint="cs"/>
          <w:bCs/>
          <w:rtl/>
        </w:rPr>
        <w:t>מספר קורס: 16-189-01</w:t>
      </w:r>
    </w:p>
    <w:p w:rsidR="004C7A4F" w:rsidRPr="00D77B34" w:rsidRDefault="004C7A4F" w:rsidP="004C7A4F">
      <w:pPr>
        <w:spacing w:line="360" w:lineRule="auto"/>
        <w:rPr>
          <w:bCs/>
          <w:rtl/>
        </w:rPr>
      </w:pPr>
      <w:r w:rsidRPr="00D77B34">
        <w:rPr>
          <w:bCs/>
          <w:rtl/>
        </w:rPr>
        <w:t xml:space="preserve">שנת לימודים: </w:t>
      </w:r>
      <w:r>
        <w:rPr>
          <w:rFonts w:hint="cs"/>
          <w:bCs/>
          <w:rtl/>
        </w:rPr>
        <w:t>תשע"ט</w:t>
      </w:r>
      <w:r w:rsidRPr="00D77B34">
        <w:rPr>
          <w:bCs/>
          <w:rtl/>
        </w:rPr>
        <w:t xml:space="preserve">                     סמסטר:  </w:t>
      </w:r>
      <w:r>
        <w:rPr>
          <w:rFonts w:hint="cs"/>
          <w:bCs/>
          <w:rtl/>
        </w:rPr>
        <w:t>א</w:t>
      </w:r>
      <w:r w:rsidRPr="00D77B34">
        <w:rPr>
          <w:bCs/>
          <w:rtl/>
        </w:rPr>
        <w:t xml:space="preserve">                           היקף שעות:  1</w:t>
      </w:r>
      <w:r>
        <w:rPr>
          <w:rFonts w:hint="cs"/>
          <w:bCs/>
          <w:rtl/>
        </w:rPr>
        <w:t xml:space="preserve"> ש"ש</w:t>
      </w:r>
    </w:p>
    <w:p w:rsidR="004C7A4F" w:rsidRPr="00AF0248" w:rsidRDefault="004C7A4F" w:rsidP="004C7A4F">
      <w:pPr>
        <w:spacing w:line="360" w:lineRule="auto"/>
        <w:rPr>
          <w:rtl/>
        </w:rPr>
      </w:pPr>
    </w:p>
    <w:p w:rsidR="004C7A4F" w:rsidRPr="00AF0248" w:rsidRDefault="004C7A4F" w:rsidP="004C7A4F">
      <w:pPr>
        <w:spacing w:line="360" w:lineRule="auto"/>
        <w:ind w:left="26"/>
        <w:rPr>
          <w:b/>
          <w:bCs/>
          <w:rtl/>
        </w:rPr>
      </w:pPr>
      <w:r w:rsidRPr="00AF0248">
        <w:rPr>
          <w:b/>
          <w:bCs/>
          <w:rtl/>
        </w:rPr>
        <w:t>א. מטרות הקורס ותוצרי למידה (מטרות על / מטרות ספציפיות):</w:t>
      </w:r>
    </w:p>
    <w:p w:rsidR="004C7A4F" w:rsidRPr="00AF0248" w:rsidRDefault="004C7A4F" w:rsidP="004C7A4F">
      <w:pPr>
        <w:ind w:left="26"/>
        <w:jc w:val="both"/>
        <w:rPr>
          <w:rtl/>
        </w:rPr>
      </w:pPr>
      <w:r>
        <w:rPr>
          <w:rFonts w:hint="cs"/>
          <w:rtl/>
        </w:rPr>
        <w:t xml:space="preserve">מטרת קורס זה היא לחשוף את הסטודנט לשינויים אשר התרחשו במרחב הגיאוגראפי של ארץ ישאל עקב </w:t>
      </w:r>
      <w:r w:rsidRPr="00C4290A">
        <w:rPr>
          <w:rtl/>
        </w:rPr>
        <w:t xml:space="preserve">נוכחותן </w:t>
      </w:r>
      <w:r>
        <w:rPr>
          <w:rFonts w:hint="cs"/>
          <w:rtl/>
        </w:rPr>
        <w:t xml:space="preserve">ופעילותן </w:t>
      </w:r>
      <w:r w:rsidRPr="00C4290A">
        <w:rPr>
          <w:rtl/>
        </w:rPr>
        <w:t>של "מעצמות העל" ארם ואשור</w:t>
      </w:r>
      <w:r>
        <w:rPr>
          <w:rFonts w:hint="cs"/>
          <w:rtl/>
        </w:rPr>
        <w:t xml:space="preserve"> בתקופת הברזל ב'.  הסטודנט יכיר את היישויות המקומיות השונות (ממלכות ישראל ויהודה, ערי פלשת, הערים הפיניקיות ומצרים) במרחב ואת ההשלכות של מדיניות החוץ של ממלכת ארם והאימפריה האשורית על יישויות אלו. ה</w:t>
      </w:r>
      <w:r w:rsidRPr="00AF0248">
        <w:rPr>
          <w:rtl/>
        </w:rPr>
        <w:t xml:space="preserve">קורס </w:t>
      </w:r>
      <w:r>
        <w:rPr>
          <w:rFonts w:hint="cs"/>
          <w:rtl/>
        </w:rPr>
        <w:t xml:space="preserve">יתמקד בממלכות ישראל ויהודה וערי פלשת ויאפשר </w:t>
      </w:r>
      <w:r w:rsidRPr="00AF0248">
        <w:rPr>
          <w:rtl/>
        </w:rPr>
        <w:t>ה</w:t>
      </w:r>
      <w:r>
        <w:rPr>
          <w:rtl/>
        </w:rPr>
        <w:t xml:space="preserve">כרות עם </w:t>
      </w:r>
      <w:r>
        <w:rPr>
          <w:rFonts w:hint="cs"/>
          <w:rtl/>
        </w:rPr>
        <w:t>יישויות הפוליטיות השונות, הממצא החומרי של התקופה ושינויים שחלו בו, טקסטים מקראיים ומקורות חוץ מקראיים</w:t>
      </w:r>
      <w:r w:rsidRPr="00AF0248">
        <w:rPr>
          <w:rtl/>
        </w:rPr>
        <w:t xml:space="preserve"> אשר משקפים את מגוון </w:t>
      </w:r>
      <w:r>
        <w:rPr>
          <w:rFonts w:hint="cs"/>
          <w:rtl/>
        </w:rPr>
        <w:t>הפעילויות המדיניות שהתרחשו במרחב</w:t>
      </w:r>
      <w:r w:rsidRPr="00AF0248">
        <w:rPr>
          <w:rtl/>
        </w:rPr>
        <w:t xml:space="preserve">. </w:t>
      </w:r>
    </w:p>
    <w:p w:rsidR="004C7A4F" w:rsidRPr="00AF0248" w:rsidRDefault="004C7A4F" w:rsidP="004C7A4F">
      <w:pPr>
        <w:ind w:left="26"/>
        <w:jc w:val="both"/>
        <w:rPr>
          <w:rtl/>
        </w:rPr>
      </w:pPr>
    </w:p>
    <w:p w:rsidR="004C7A4F" w:rsidRPr="00D77B34" w:rsidRDefault="004C7A4F" w:rsidP="004C7A4F">
      <w:pPr>
        <w:ind w:left="26"/>
        <w:jc w:val="both"/>
        <w:rPr>
          <w:b/>
          <w:bCs/>
          <w:rtl/>
        </w:rPr>
      </w:pPr>
      <w:r w:rsidRPr="00D77B34">
        <w:rPr>
          <w:b/>
          <w:bCs/>
          <w:rtl/>
        </w:rPr>
        <w:t>תוצרי למידה :</w:t>
      </w:r>
    </w:p>
    <w:p w:rsidR="004C7A4F" w:rsidRDefault="004C7A4F" w:rsidP="004C7A4F">
      <w:pPr>
        <w:numPr>
          <w:ilvl w:val="0"/>
          <w:numId w:val="1"/>
        </w:numPr>
        <w:jc w:val="both"/>
      </w:pPr>
      <w:r>
        <w:rPr>
          <w:rFonts w:hint="cs"/>
          <w:rtl/>
        </w:rPr>
        <w:t xml:space="preserve">ללמד את הכרונולוגיה האזורית. </w:t>
      </w:r>
    </w:p>
    <w:p w:rsidR="004C7A4F" w:rsidRDefault="004C7A4F" w:rsidP="004C7A4F">
      <w:pPr>
        <w:numPr>
          <w:ilvl w:val="0"/>
          <w:numId w:val="1"/>
        </w:numPr>
        <w:jc w:val="both"/>
      </w:pPr>
      <w:r>
        <w:rPr>
          <w:rFonts w:hint="cs"/>
          <w:rtl/>
        </w:rPr>
        <w:t>להכיר את מאפייני תקופת הברזל ב' הן מבחינה ארכיאולוגית והן מבחינה היסטורית.</w:t>
      </w:r>
    </w:p>
    <w:p w:rsidR="004C7A4F" w:rsidRPr="00AF0248" w:rsidRDefault="004C7A4F" w:rsidP="004C7A4F">
      <w:pPr>
        <w:numPr>
          <w:ilvl w:val="0"/>
          <w:numId w:val="1"/>
        </w:numPr>
        <w:jc w:val="both"/>
      </w:pPr>
      <w:r>
        <w:rPr>
          <w:rFonts w:hint="cs"/>
          <w:rtl/>
        </w:rPr>
        <w:t xml:space="preserve">להבין מהם </w:t>
      </w:r>
      <w:r w:rsidRPr="00AF0248">
        <w:rPr>
          <w:rtl/>
        </w:rPr>
        <w:t xml:space="preserve"> </w:t>
      </w:r>
      <w:r>
        <w:rPr>
          <w:rFonts w:hint="cs"/>
          <w:rtl/>
        </w:rPr>
        <w:t>המרכזים המדיניים המקומיים ומיקומם מבחינה גיאוגראפית</w:t>
      </w:r>
      <w:r w:rsidRPr="00AF0248">
        <w:rPr>
          <w:rtl/>
        </w:rPr>
        <w:t xml:space="preserve">. </w:t>
      </w:r>
    </w:p>
    <w:p w:rsidR="004C7A4F" w:rsidRPr="00AF0248" w:rsidRDefault="004C7A4F" w:rsidP="004C7A4F">
      <w:pPr>
        <w:numPr>
          <w:ilvl w:val="0"/>
          <w:numId w:val="1"/>
        </w:numPr>
        <w:jc w:val="both"/>
      </w:pPr>
      <w:r>
        <w:rPr>
          <w:rFonts w:hint="cs"/>
          <w:rtl/>
        </w:rPr>
        <w:t>י</w:t>
      </w:r>
      <w:r w:rsidRPr="00AF0248">
        <w:rPr>
          <w:rtl/>
        </w:rPr>
        <w:t xml:space="preserve">כיר </w:t>
      </w:r>
      <w:r>
        <w:rPr>
          <w:rFonts w:hint="cs"/>
          <w:rtl/>
        </w:rPr>
        <w:t>את הכוחות המדיניים והפוליטים השולטים</w:t>
      </w:r>
      <w:r w:rsidRPr="00AF0248">
        <w:rPr>
          <w:rtl/>
        </w:rPr>
        <w:t xml:space="preserve"> במרחב</w:t>
      </w:r>
      <w:r>
        <w:rPr>
          <w:rFonts w:hint="cs"/>
          <w:rtl/>
        </w:rPr>
        <w:t xml:space="preserve"> (ארם, אשור ומצרים)</w:t>
      </w:r>
      <w:r w:rsidRPr="00AF0248">
        <w:rPr>
          <w:rtl/>
        </w:rPr>
        <w:t xml:space="preserve">. </w:t>
      </w:r>
    </w:p>
    <w:p w:rsidR="004C7A4F" w:rsidRPr="00AF0248" w:rsidRDefault="004C7A4F" w:rsidP="004C7A4F">
      <w:pPr>
        <w:numPr>
          <w:ilvl w:val="0"/>
          <w:numId w:val="1"/>
        </w:numPr>
        <w:jc w:val="both"/>
      </w:pPr>
      <w:r w:rsidRPr="00AF0248">
        <w:rPr>
          <w:rtl/>
        </w:rPr>
        <w:t xml:space="preserve">להיחשף למגוון דעות עדכניות על </w:t>
      </w:r>
      <w:r>
        <w:rPr>
          <w:rFonts w:hint="cs"/>
          <w:rtl/>
        </w:rPr>
        <w:t>האירוכעים ההישטורים ושחזורם</w:t>
      </w:r>
    </w:p>
    <w:p w:rsidR="004C7A4F" w:rsidRPr="00AF0248" w:rsidRDefault="004C7A4F" w:rsidP="004C7A4F">
      <w:pPr>
        <w:numPr>
          <w:ilvl w:val="0"/>
          <w:numId w:val="1"/>
        </w:numPr>
        <w:jc w:val="both"/>
      </w:pPr>
      <w:r w:rsidRPr="00AF0248">
        <w:rPr>
          <w:rtl/>
        </w:rPr>
        <w:t>להתנסות בניתוח</w:t>
      </w:r>
      <w:r>
        <w:rPr>
          <w:rFonts w:hint="cs"/>
          <w:rtl/>
        </w:rPr>
        <w:t xml:space="preserve"> ממצא חומרי וממצא טקסטואלי</w:t>
      </w:r>
      <w:r w:rsidRPr="00AF0248">
        <w:rPr>
          <w:rtl/>
        </w:rPr>
        <w:t xml:space="preserve">. </w:t>
      </w:r>
    </w:p>
    <w:p w:rsidR="004C7A4F" w:rsidRPr="00AF0248" w:rsidRDefault="004C7A4F" w:rsidP="004C7A4F">
      <w:pPr>
        <w:numPr>
          <w:ilvl w:val="0"/>
          <w:numId w:val="1"/>
        </w:numPr>
        <w:jc w:val="both"/>
      </w:pPr>
      <w:r w:rsidRPr="00AF0248">
        <w:rPr>
          <w:rtl/>
        </w:rPr>
        <w:t>להשוות בין</w:t>
      </w:r>
      <w:r>
        <w:rPr>
          <w:rFonts w:hint="cs"/>
          <w:rtl/>
        </w:rPr>
        <w:t xml:space="preserve"> השינויים אשר התרחשו</w:t>
      </w:r>
      <w:r w:rsidRPr="00AF0248">
        <w:rPr>
          <w:rtl/>
        </w:rPr>
        <w:t xml:space="preserve"> </w:t>
      </w:r>
      <w:r>
        <w:rPr>
          <w:rFonts w:hint="cs"/>
          <w:rtl/>
        </w:rPr>
        <w:t>במרכזים המדיניים המקומיים, כתוצאה ממדיניות החוץ של ארם ואשור.</w:t>
      </w:r>
    </w:p>
    <w:p w:rsidR="004C7A4F" w:rsidRPr="00AF0248" w:rsidRDefault="004C7A4F" w:rsidP="004C7A4F">
      <w:pPr>
        <w:ind w:left="386"/>
        <w:jc w:val="both"/>
        <w:rPr>
          <w:rtl/>
        </w:rPr>
      </w:pPr>
    </w:p>
    <w:p w:rsidR="004C7A4F" w:rsidRPr="00AF0248" w:rsidRDefault="004C7A4F" w:rsidP="004C7A4F">
      <w:pPr>
        <w:ind w:left="26"/>
        <w:rPr>
          <w:b/>
          <w:bCs/>
          <w:rtl/>
        </w:rPr>
      </w:pPr>
    </w:p>
    <w:p w:rsidR="004C7A4F" w:rsidRPr="00AF0248" w:rsidRDefault="004C7A4F" w:rsidP="004C7A4F">
      <w:pPr>
        <w:spacing w:line="360" w:lineRule="auto"/>
        <w:ind w:left="26"/>
        <w:rPr>
          <w:rtl/>
        </w:rPr>
      </w:pPr>
      <w:r w:rsidRPr="00AF0248">
        <w:rPr>
          <w:b/>
          <w:bCs/>
          <w:rtl/>
        </w:rPr>
        <w:t>ב. תוכן הקורס:</w:t>
      </w:r>
    </w:p>
    <w:p w:rsidR="004C7A4F" w:rsidRPr="00AF0248" w:rsidRDefault="004C7A4F" w:rsidP="004C7A4F">
      <w:pPr>
        <w:ind w:left="26"/>
        <w:jc w:val="both"/>
        <w:rPr>
          <w:rtl/>
        </w:rPr>
      </w:pPr>
      <w:r w:rsidRPr="00AF0248">
        <w:rPr>
          <w:b/>
          <w:bCs/>
          <w:rtl/>
        </w:rPr>
        <w:t>רציונל, נושאים:</w:t>
      </w:r>
      <w:r w:rsidRPr="00AF0248">
        <w:rPr>
          <w:rtl/>
        </w:rPr>
        <w:t xml:space="preserve"> עיקרו של </w:t>
      </w:r>
      <w:r>
        <w:rPr>
          <w:rFonts w:hint="cs"/>
          <w:rtl/>
        </w:rPr>
        <w:t>ה</w:t>
      </w:r>
      <w:r w:rsidRPr="00AF0248">
        <w:rPr>
          <w:rtl/>
        </w:rPr>
        <w:t xml:space="preserve">קורס </w:t>
      </w:r>
      <w:r>
        <w:rPr>
          <w:rFonts w:hint="cs"/>
          <w:rtl/>
        </w:rPr>
        <w:t xml:space="preserve">יאפשר </w:t>
      </w:r>
      <w:r w:rsidRPr="00AF0248">
        <w:rPr>
          <w:rtl/>
        </w:rPr>
        <w:t xml:space="preserve">הכרות </w:t>
      </w:r>
      <w:r>
        <w:rPr>
          <w:rFonts w:hint="cs"/>
          <w:rtl/>
        </w:rPr>
        <w:t xml:space="preserve">והבנה של  תקופת הברזל ב' בארץ ישראל והשלכות והשינויים הדרמתיים אשר התרחשו במרחב עקב היחסים הפוליטים והמדיניים של ממלכות ישראל והיהודה וערי פלשת, מעצמות העל במרחב ארם, אשור ומצרים. הקורס נועד </w:t>
      </w:r>
      <w:r w:rsidRPr="00AF0248">
        <w:rPr>
          <w:rtl/>
        </w:rPr>
        <w:t xml:space="preserve">להקנות לסטודנט כלים  </w:t>
      </w:r>
      <w:r>
        <w:rPr>
          <w:rFonts w:hint="cs"/>
          <w:rtl/>
        </w:rPr>
        <w:t>ולהנגיש בפניו את החשיבות של ניתוח הממצא הארכיאולוגי ושימוש בטקסטים (ביקורתי) בטסטים היסטורים כדי לשחזר את אירוכי העבר</w:t>
      </w:r>
      <w:r w:rsidRPr="00AF0248">
        <w:rPr>
          <w:rtl/>
        </w:rPr>
        <w:t xml:space="preserve">. </w:t>
      </w:r>
      <w:r>
        <w:rPr>
          <w:rFonts w:hint="cs"/>
          <w:rtl/>
        </w:rPr>
        <w:t xml:space="preserve">הכרות עם מדוון האתרים, ניתוח השינויים הגיאוגראפיים והתרבותיים באתרים אלו הינו  כלי חשוב מאד להבנת התהליכים וההשפעות אשר עברו על החברה בארץ ישראל בפרט ובלבנט בכלל בתקופות חשובות והמרתקות הללו. </w:t>
      </w:r>
    </w:p>
    <w:p w:rsidR="004C7A4F" w:rsidRPr="00AF0248" w:rsidRDefault="004C7A4F" w:rsidP="004C7A4F">
      <w:pPr>
        <w:ind w:left="26"/>
        <w:jc w:val="both"/>
        <w:rPr>
          <w:rtl/>
        </w:rPr>
      </w:pPr>
    </w:p>
    <w:p w:rsidR="004C7A4F" w:rsidRPr="00AF0248" w:rsidRDefault="004C7A4F" w:rsidP="004C7A4F">
      <w:pPr>
        <w:ind w:left="26"/>
        <w:jc w:val="both"/>
        <w:rPr>
          <w:rtl/>
        </w:rPr>
      </w:pPr>
    </w:p>
    <w:p w:rsidR="004C7A4F" w:rsidRPr="00AF0248" w:rsidRDefault="004C7A4F" w:rsidP="004C7A4F">
      <w:pPr>
        <w:ind w:left="26"/>
        <w:jc w:val="both"/>
        <w:rPr>
          <w:rtl/>
        </w:rPr>
      </w:pPr>
      <w:r w:rsidRPr="00AF0248">
        <w:rPr>
          <w:b/>
          <w:bCs/>
          <w:rtl/>
        </w:rPr>
        <w:t>מהלך השיעורים:</w:t>
      </w:r>
      <w:r w:rsidRPr="00AF0248">
        <w:rPr>
          <w:rtl/>
        </w:rPr>
        <w:t xml:space="preserve"> לימוד פרונטלי עם מצגות, הקורס מלווה באתר מודל. </w:t>
      </w:r>
    </w:p>
    <w:p w:rsidR="004C7A4F" w:rsidRPr="00AF0248" w:rsidRDefault="004C7A4F" w:rsidP="004C7A4F">
      <w:pPr>
        <w:ind w:left="26"/>
        <w:jc w:val="both"/>
        <w:rPr>
          <w:rtl/>
        </w:rPr>
      </w:pPr>
    </w:p>
    <w:p w:rsidR="004C7A4F" w:rsidRPr="00AF0248" w:rsidRDefault="004C7A4F" w:rsidP="004C7A4F">
      <w:pPr>
        <w:ind w:left="26"/>
        <w:jc w:val="both"/>
        <w:rPr>
          <w:rtl/>
        </w:rPr>
      </w:pPr>
      <w:r w:rsidRPr="00AF0248">
        <w:rPr>
          <w:b/>
          <w:bCs/>
          <w:rtl/>
        </w:rPr>
        <w:lastRenderedPageBreak/>
        <w:t xml:space="preserve">תכנית הוראה מפורטת לכל השיעורים: </w:t>
      </w:r>
      <w:r w:rsidRPr="00AF0248">
        <w:rPr>
          <w:rtl/>
        </w:rPr>
        <w:t>רשימת נושאים / תוכנית הלימודים בקורס</w:t>
      </w:r>
      <w:r w:rsidRPr="00AF0248">
        <w:rPr>
          <w:b/>
          <w:bCs/>
          <w:rtl/>
        </w:rPr>
        <w:t xml:space="preserve"> –</w:t>
      </w:r>
      <w:r w:rsidRPr="00AF0248">
        <w:rPr>
          <w:rtl/>
        </w:rPr>
        <w:t>רשימה מפורטת של נושאי ההרצאות בסדר כרונולוגי (רשימה או טבלה כדוגמת המצ"ב)</w:t>
      </w:r>
    </w:p>
    <w:p w:rsidR="004C7A4F" w:rsidRPr="00AF0248" w:rsidRDefault="004C7A4F" w:rsidP="004C7A4F">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178"/>
        <w:gridCol w:w="1980"/>
        <w:gridCol w:w="1980"/>
      </w:tblGrid>
      <w:tr w:rsidR="004C7A4F" w:rsidRPr="00AF0248" w:rsidTr="00B61E07">
        <w:trPr>
          <w:jc w:val="center"/>
        </w:trPr>
        <w:tc>
          <w:tcPr>
            <w:tcW w:w="1349" w:type="dxa"/>
            <w:shd w:val="clear" w:color="auto" w:fill="auto"/>
          </w:tcPr>
          <w:p w:rsidR="004C7A4F" w:rsidRPr="00AF0248" w:rsidRDefault="004C7A4F" w:rsidP="00B61E07">
            <w:pPr>
              <w:spacing w:line="360" w:lineRule="auto"/>
            </w:pPr>
            <w:r w:rsidRPr="00AF0248">
              <w:rPr>
                <w:rtl/>
              </w:rPr>
              <w:t>מס' השיעור</w:t>
            </w:r>
          </w:p>
        </w:tc>
        <w:tc>
          <w:tcPr>
            <w:tcW w:w="2178" w:type="dxa"/>
            <w:shd w:val="clear" w:color="auto" w:fill="auto"/>
          </w:tcPr>
          <w:p w:rsidR="004C7A4F" w:rsidRPr="00AF0248" w:rsidRDefault="004C7A4F" w:rsidP="00B61E07">
            <w:pPr>
              <w:spacing w:line="360" w:lineRule="auto"/>
            </w:pPr>
            <w:r w:rsidRPr="00AF0248">
              <w:rPr>
                <w:rtl/>
              </w:rPr>
              <w:t>נושא השיעור</w:t>
            </w:r>
          </w:p>
        </w:tc>
        <w:tc>
          <w:tcPr>
            <w:tcW w:w="1980" w:type="dxa"/>
            <w:shd w:val="clear" w:color="auto" w:fill="auto"/>
          </w:tcPr>
          <w:p w:rsidR="004C7A4F" w:rsidRPr="00AF0248" w:rsidRDefault="004C7A4F" w:rsidP="00B61E07">
            <w:pPr>
              <w:spacing w:line="360" w:lineRule="auto"/>
            </w:pPr>
            <w:r w:rsidRPr="00AF0248">
              <w:rPr>
                <w:rtl/>
              </w:rPr>
              <w:t>קריאה נדרשת</w:t>
            </w:r>
          </w:p>
        </w:tc>
        <w:tc>
          <w:tcPr>
            <w:tcW w:w="1980" w:type="dxa"/>
            <w:shd w:val="clear" w:color="auto" w:fill="auto"/>
          </w:tcPr>
          <w:p w:rsidR="004C7A4F" w:rsidRPr="00AF0248" w:rsidRDefault="004C7A4F" w:rsidP="00B61E07">
            <w:pPr>
              <w:spacing w:line="360" w:lineRule="auto"/>
            </w:pPr>
            <w:r w:rsidRPr="00AF0248">
              <w:rPr>
                <w:rtl/>
              </w:rPr>
              <w:t xml:space="preserve"> הערות</w:t>
            </w:r>
          </w:p>
        </w:tc>
      </w:tr>
      <w:tr w:rsidR="004C7A4F" w:rsidRPr="00AF0248" w:rsidTr="00B61E07">
        <w:trPr>
          <w:jc w:val="center"/>
        </w:trPr>
        <w:tc>
          <w:tcPr>
            <w:tcW w:w="1349" w:type="dxa"/>
            <w:shd w:val="clear" w:color="auto" w:fill="auto"/>
          </w:tcPr>
          <w:p w:rsidR="004C7A4F" w:rsidRPr="00AF0248" w:rsidRDefault="004C7A4F" w:rsidP="00B61E07">
            <w:pPr>
              <w:spacing w:line="360" w:lineRule="auto"/>
            </w:pPr>
            <w:r w:rsidRPr="00AF0248">
              <w:rPr>
                <w:rtl/>
              </w:rPr>
              <w:t>1</w:t>
            </w:r>
          </w:p>
        </w:tc>
        <w:tc>
          <w:tcPr>
            <w:tcW w:w="2178" w:type="dxa"/>
            <w:shd w:val="clear" w:color="auto" w:fill="auto"/>
          </w:tcPr>
          <w:p w:rsidR="004C7A4F" w:rsidRPr="00AF0248" w:rsidRDefault="004C7A4F" w:rsidP="00B61E07">
            <w:pPr>
              <w:spacing w:line="360" w:lineRule="auto"/>
            </w:pPr>
            <w:r w:rsidRPr="00AF0248">
              <w:rPr>
                <w:rtl/>
              </w:rPr>
              <w:t xml:space="preserve">מבוא  - ציר זמן </w:t>
            </w:r>
          </w:p>
        </w:tc>
        <w:tc>
          <w:tcPr>
            <w:tcW w:w="1980" w:type="dxa"/>
            <w:shd w:val="clear" w:color="auto" w:fill="auto"/>
          </w:tcPr>
          <w:p w:rsidR="004C7A4F" w:rsidRPr="00AF0248" w:rsidRDefault="004C7A4F" w:rsidP="00B61E07">
            <w:pPr>
              <w:spacing w:line="360" w:lineRule="auto"/>
            </w:pPr>
          </w:p>
        </w:tc>
        <w:tc>
          <w:tcPr>
            <w:tcW w:w="1980" w:type="dxa"/>
            <w:shd w:val="clear" w:color="auto" w:fill="auto"/>
          </w:tcPr>
          <w:p w:rsidR="004C7A4F" w:rsidRPr="00AF0248" w:rsidRDefault="004C7A4F" w:rsidP="00B61E07">
            <w:pPr>
              <w:spacing w:line="360" w:lineRule="auto"/>
            </w:pPr>
            <w:r w:rsidRPr="00AF0248">
              <w:rPr>
                <w:rtl/>
              </w:rPr>
              <w:t>תיחום התקופה ומאפייניה. תיאום ציפיות סטודנט-מרצה</w:t>
            </w:r>
          </w:p>
        </w:tc>
      </w:tr>
      <w:tr w:rsidR="004C7A4F" w:rsidRPr="00AF0248" w:rsidTr="00B61E07">
        <w:trPr>
          <w:jc w:val="center"/>
        </w:trPr>
        <w:tc>
          <w:tcPr>
            <w:tcW w:w="1349" w:type="dxa"/>
            <w:shd w:val="clear" w:color="auto" w:fill="auto"/>
          </w:tcPr>
          <w:p w:rsidR="004C7A4F" w:rsidRPr="00AF0248" w:rsidRDefault="004C7A4F" w:rsidP="00B61E07">
            <w:pPr>
              <w:spacing w:line="360" w:lineRule="auto"/>
            </w:pPr>
            <w:r w:rsidRPr="00AF0248">
              <w:rPr>
                <w:rtl/>
              </w:rPr>
              <w:t>2</w:t>
            </w:r>
          </w:p>
        </w:tc>
        <w:tc>
          <w:tcPr>
            <w:tcW w:w="2178" w:type="dxa"/>
            <w:shd w:val="clear" w:color="auto" w:fill="auto"/>
          </w:tcPr>
          <w:p w:rsidR="004C7A4F" w:rsidRPr="00AF0248" w:rsidRDefault="004C7A4F" w:rsidP="00B61E07">
            <w:pPr>
              <w:spacing w:line="360" w:lineRule="auto"/>
            </w:pPr>
            <w:r w:rsidRPr="003A5094">
              <w:rPr>
                <w:rtl/>
              </w:rPr>
              <w:t>ממלכת ישראל המאוחדת הסוף! רחבעם וירבעם ומאבקיהם.</w:t>
            </w:r>
          </w:p>
        </w:tc>
        <w:tc>
          <w:tcPr>
            <w:tcW w:w="1980" w:type="dxa"/>
            <w:shd w:val="clear" w:color="auto" w:fill="auto"/>
          </w:tcPr>
          <w:p w:rsidR="004C7A4F" w:rsidRPr="00F51A71" w:rsidRDefault="004C7A4F" w:rsidP="00B61E07">
            <w:pPr>
              <w:spacing w:line="360" w:lineRule="auto"/>
              <w:rPr>
                <w:rFonts w:hint="cs"/>
                <w:rtl/>
              </w:rPr>
            </w:pPr>
            <w:r>
              <w:rPr>
                <w:rFonts w:hint="cs"/>
                <w:rtl/>
              </w:rPr>
              <w:t>אפאל 1984</w:t>
            </w:r>
            <w:r>
              <w:rPr>
                <w:lang w:val="en-GB"/>
              </w:rPr>
              <w:t>;</w:t>
            </w:r>
            <w:r>
              <w:rPr>
                <w:rFonts w:hint="cs"/>
                <w:rtl/>
              </w:rPr>
              <w:t xml:space="preserve"> ייבין 1984; פאוסט 1999; קוך 2012</w:t>
            </w:r>
          </w:p>
        </w:tc>
        <w:tc>
          <w:tcPr>
            <w:tcW w:w="1980" w:type="dxa"/>
            <w:shd w:val="clear" w:color="auto" w:fill="auto"/>
          </w:tcPr>
          <w:p w:rsidR="004C7A4F" w:rsidRPr="00AF0248" w:rsidRDefault="004C7A4F" w:rsidP="00B61E07">
            <w:pPr>
              <w:spacing w:line="360" w:lineRule="auto"/>
            </w:pPr>
            <w:r w:rsidRPr="00AF0248">
              <w:rPr>
                <w:rtl/>
              </w:rPr>
              <w:t xml:space="preserve">הכרות עם הדעות העדכניות במחקר </w:t>
            </w:r>
            <w:r>
              <w:rPr>
                <w:rFonts w:hint="cs"/>
                <w:rtl/>
              </w:rPr>
              <w:t xml:space="preserve">על הממלכה המאוחדת. האם הייתה או לא הייתה? </w:t>
            </w:r>
            <w:r w:rsidRPr="00AF0248">
              <w:rPr>
                <w:rtl/>
              </w:rPr>
              <w:t xml:space="preserve"> </w:t>
            </w:r>
          </w:p>
        </w:tc>
      </w:tr>
      <w:tr w:rsidR="004C7A4F" w:rsidRPr="00AF0248" w:rsidTr="00B61E07">
        <w:trPr>
          <w:jc w:val="center"/>
        </w:trPr>
        <w:tc>
          <w:tcPr>
            <w:tcW w:w="1349" w:type="dxa"/>
            <w:shd w:val="clear" w:color="auto" w:fill="auto"/>
          </w:tcPr>
          <w:p w:rsidR="004C7A4F" w:rsidRPr="00AF0248" w:rsidRDefault="004C7A4F" w:rsidP="00B61E07">
            <w:pPr>
              <w:spacing w:line="360" w:lineRule="auto"/>
            </w:pPr>
            <w:r w:rsidRPr="00AF0248">
              <w:rPr>
                <w:rtl/>
              </w:rPr>
              <w:t>3</w:t>
            </w:r>
          </w:p>
        </w:tc>
        <w:tc>
          <w:tcPr>
            <w:tcW w:w="2178" w:type="dxa"/>
            <w:shd w:val="clear" w:color="auto" w:fill="auto"/>
          </w:tcPr>
          <w:p w:rsidR="004C7A4F" w:rsidRPr="00AF0248" w:rsidRDefault="004C7A4F" w:rsidP="00B61E07">
            <w:pPr>
              <w:spacing w:line="360" w:lineRule="auto"/>
            </w:pPr>
            <w:r>
              <w:rPr>
                <w:rFonts w:hint="cs"/>
                <w:rtl/>
              </w:rPr>
              <w:t>הארמים והמערב.</w:t>
            </w:r>
          </w:p>
        </w:tc>
        <w:tc>
          <w:tcPr>
            <w:tcW w:w="1980" w:type="dxa"/>
            <w:shd w:val="clear" w:color="auto" w:fill="auto"/>
          </w:tcPr>
          <w:p w:rsidR="004C7A4F" w:rsidRPr="00AF0248" w:rsidRDefault="004C7A4F" w:rsidP="00B61E07">
            <w:pPr>
              <w:bidi w:val="0"/>
              <w:spacing w:line="360" w:lineRule="auto"/>
            </w:pPr>
            <w:r w:rsidRPr="00F51A71">
              <w:t>Berlejung 2014</w:t>
            </w:r>
            <w:r>
              <w:rPr>
                <w:rFonts w:hint="cs"/>
                <w:rtl/>
              </w:rPr>
              <w:t>;</w:t>
            </w:r>
            <w:r>
              <w:t xml:space="preserve"> </w:t>
            </w:r>
          </w:p>
        </w:tc>
        <w:tc>
          <w:tcPr>
            <w:tcW w:w="1980" w:type="dxa"/>
            <w:shd w:val="clear" w:color="auto" w:fill="auto"/>
          </w:tcPr>
          <w:p w:rsidR="004C7A4F" w:rsidRPr="00AF0248" w:rsidRDefault="004C7A4F" w:rsidP="00B61E07">
            <w:pPr>
              <w:spacing w:line="360" w:lineRule="auto"/>
            </w:pPr>
            <w:r>
              <w:rPr>
                <w:rFonts w:hint="cs"/>
                <w:rtl/>
              </w:rPr>
              <w:t xml:space="preserve">מבוא לממלכה הארמית, מסגרת כרונולוגית וגיאוגראפית. </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t>4</w:t>
            </w:r>
          </w:p>
        </w:tc>
        <w:tc>
          <w:tcPr>
            <w:tcW w:w="2178" w:type="dxa"/>
            <w:shd w:val="clear" w:color="auto" w:fill="auto"/>
          </w:tcPr>
          <w:p w:rsidR="004C7A4F" w:rsidRPr="00AF0248" w:rsidRDefault="004C7A4F" w:rsidP="00B61E07">
            <w:pPr>
              <w:spacing w:line="360" w:lineRule="auto"/>
              <w:rPr>
                <w:rtl/>
              </w:rPr>
            </w:pPr>
            <w:r>
              <w:rPr>
                <w:rFonts w:hint="cs"/>
                <w:rtl/>
              </w:rPr>
              <w:t>חזאל מלך ארם ומדיניותו</w:t>
            </w:r>
          </w:p>
        </w:tc>
        <w:tc>
          <w:tcPr>
            <w:tcW w:w="1980" w:type="dxa"/>
            <w:shd w:val="clear" w:color="auto" w:fill="auto"/>
          </w:tcPr>
          <w:p w:rsidR="004C7A4F" w:rsidRPr="00AF0248" w:rsidRDefault="004C7A4F" w:rsidP="00B61E07">
            <w:pPr>
              <w:bidi w:val="0"/>
              <w:spacing w:line="360" w:lineRule="auto"/>
            </w:pPr>
            <w:r w:rsidRPr="00F51A71">
              <w:t>Schniedewind 1996</w:t>
            </w:r>
          </w:p>
        </w:tc>
        <w:tc>
          <w:tcPr>
            <w:tcW w:w="1980" w:type="dxa"/>
            <w:shd w:val="clear" w:color="auto" w:fill="auto"/>
          </w:tcPr>
          <w:p w:rsidR="004C7A4F" w:rsidRDefault="004C7A4F" w:rsidP="00B61E07">
            <w:pPr>
              <w:spacing w:line="360" w:lineRule="auto"/>
              <w:rPr>
                <w:rFonts w:hint="cs"/>
                <w:rtl/>
              </w:rPr>
            </w:pPr>
            <w:r>
              <w:rPr>
                <w:rFonts w:hint="cs"/>
                <w:rtl/>
              </w:rPr>
              <w:t xml:space="preserve">ההשלכות של המדיניות הארמית במערב, מרד יהוא, כתובת תל דן. </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t>5</w:t>
            </w:r>
          </w:p>
        </w:tc>
        <w:tc>
          <w:tcPr>
            <w:tcW w:w="2178" w:type="dxa"/>
            <w:shd w:val="clear" w:color="auto" w:fill="auto"/>
          </w:tcPr>
          <w:p w:rsidR="004C7A4F" w:rsidRPr="00AF0248" w:rsidRDefault="004C7A4F" w:rsidP="00B61E07">
            <w:pPr>
              <w:spacing w:line="360" w:lineRule="auto"/>
            </w:pPr>
            <w:r>
              <w:rPr>
                <w:rFonts w:hint="cs"/>
                <w:rtl/>
              </w:rPr>
              <w:t xml:space="preserve">האמפריה האשורית </w:t>
            </w:r>
            <w:r w:rsidRPr="00AF0248">
              <w:rPr>
                <w:rtl/>
              </w:rPr>
              <w:t xml:space="preserve"> </w:t>
            </w:r>
          </w:p>
        </w:tc>
        <w:tc>
          <w:tcPr>
            <w:tcW w:w="1980" w:type="dxa"/>
            <w:shd w:val="clear" w:color="auto" w:fill="auto"/>
          </w:tcPr>
          <w:p w:rsidR="004C7A4F" w:rsidRPr="00AF0248" w:rsidRDefault="004C7A4F" w:rsidP="00B61E07">
            <w:pPr>
              <w:spacing w:line="360" w:lineRule="auto"/>
            </w:pPr>
            <w:r>
              <w:rPr>
                <w:rFonts w:hint="cs"/>
                <w:rtl/>
              </w:rPr>
              <w:t>תדמור 2006, 2006א'; שטרן 2003.</w:t>
            </w:r>
          </w:p>
        </w:tc>
        <w:tc>
          <w:tcPr>
            <w:tcW w:w="1980" w:type="dxa"/>
            <w:shd w:val="clear" w:color="auto" w:fill="auto"/>
          </w:tcPr>
          <w:p w:rsidR="004C7A4F" w:rsidRPr="00AF0248" w:rsidRDefault="004C7A4F" w:rsidP="00B61E07">
            <w:pPr>
              <w:spacing w:line="360" w:lineRule="auto"/>
            </w:pPr>
            <w:r>
              <w:rPr>
                <w:rFonts w:hint="cs"/>
                <w:rtl/>
              </w:rPr>
              <w:t xml:space="preserve">מבוא לאימפריה הניאו-אשורית. </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t>6</w:t>
            </w:r>
          </w:p>
        </w:tc>
        <w:tc>
          <w:tcPr>
            <w:tcW w:w="2178" w:type="dxa"/>
            <w:shd w:val="clear" w:color="auto" w:fill="auto"/>
          </w:tcPr>
          <w:p w:rsidR="004C7A4F" w:rsidRPr="00AF0248" w:rsidRDefault="004C7A4F" w:rsidP="00B61E07">
            <w:pPr>
              <w:spacing w:line="360" w:lineRule="auto"/>
            </w:pPr>
            <w:r>
              <w:rPr>
                <w:rFonts w:hint="cs"/>
                <w:rtl/>
              </w:rPr>
              <w:t>אשור והמערב</w:t>
            </w:r>
          </w:p>
        </w:tc>
        <w:tc>
          <w:tcPr>
            <w:tcW w:w="1980" w:type="dxa"/>
            <w:shd w:val="clear" w:color="auto" w:fill="auto"/>
          </w:tcPr>
          <w:p w:rsidR="004C7A4F" w:rsidRPr="00AF0248" w:rsidRDefault="004C7A4F" w:rsidP="00B61E07">
            <w:pPr>
              <w:spacing w:line="360" w:lineRule="auto"/>
              <w:rPr>
                <w:rFonts w:hint="cs"/>
                <w:rtl/>
              </w:rPr>
            </w:pPr>
            <w:r>
              <w:rPr>
                <w:rFonts w:hint="cs"/>
                <w:rtl/>
              </w:rPr>
              <w:t>אפעל 1982</w:t>
            </w:r>
          </w:p>
        </w:tc>
        <w:tc>
          <w:tcPr>
            <w:tcW w:w="1980" w:type="dxa"/>
            <w:shd w:val="clear" w:color="auto" w:fill="auto"/>
          </w:tcPr>
          <w:p w:rsidR="004C7A4F" w:rsidRPr="00AF0248" w:rsidRDefault="004C7A4F" w:rsidP="00B61E07">
            <w:pPr>
              <w:spacing w:line="360" w:lineRule="auto"/>
            </w:pPr>
            <w:r>
              <w:rPr>
                <w:rFonts w:hint="cs"/>
                <w:rtl/>
              </w:rPr>
              <w:t xml:space="preserve">יחסי אשור עם ישראל, יהודה </w:t>
            </w:r>
          </w:p>
        </w:tc>
      </w:tr>
      <w:tr w:rsidR="004C7A4F" w:rsidRPr="00AF0248" w:rsidTr="00B61E07">
        <w:trPr>
          <w:jc w:val="center"/>
        </w:trPr>
        <w:tc>
          <w:tcPr>
            <w:tcW w:w="1349" w:type="dxa"/>
            <w:shd w:val="clear" w:color="auto" w:fill="auto"/>
          </w:tcPr>
          <w:p w:rsidR="004C7A4F" w:rsidRDefault="004C7A4F" w:rsidP="00B61E07">
            <w:pPr>
              <w:spacing w:line="360" w:lineRule="auto"/>
              <w:rPr>
                <w:rFonts w:hint="cs"/>
                <w:rtl/>
              </w:rPr>
            </w:pPr>
            <w:r>
              <w:rPr>
                <w:rFonts w:hint="cs"/>
                <w:rtl/>
              </w:rPr>
              <w:t>7</w:t>
            </w:r>
          </w:p>
        </w:tc>
        <w:tc>
          <w:tcPr>
            <w:tcW w:w="2178" w:type="dxa"/>
            <w:shd w:val="clear" w:color="auto" w:fill="auto"/>
          </w:tcPr>
          <w:p w:rsidR="004C7A4F" w:rsidRDefault="004C7A4F" w:rsidP="00B61E07">
            <w:pPr>
              <w:spacing w:line="360" w:lineRule="auto"/>
              <w:rPr>
                <w:rFonts w:hint="cs"/>
                <w:rtl/>
              </w:rPr>
            </w:pPr>
            <w:r>
              <w:rPr>
                <w:rFonts w:hint="cs"/>
                <w:rtl/>
              </w:rPr>
              <w:t>מסעו של תגלת פלאסר</w:t>
            </w:r>
          </w:p>
        </w:tc>
        <w:tc>
          <w:tcPr>
            <w:tcW w:w="1980" w:type="dxa"/>
            <w:shd w:val="clear" w:color="auto" w:fill="auto"/>
          </w:tcPr>
          <w:p w:rsidR="004C7A4F" w:rsidRDefault="004C7A4F" w:rsidP="00B61E07">
            <w:pPr>
              <w:spacing w:line="360" w:lineRule="auto"/>
              <w:rPr>
                <w:rFonts w:hint="cs"/>
                <w:rtl/>
              </w:rPr>
            </w:pPr>
            <w:r>
              <w:rPr>
                <w:rFonts w:hint="cs"/>
                <w:rtl/>
              </w:rPr>
              <w:t>בוסתנאי 1975; תדמור 2006</w:t>
            </w:r>
          </w:p>
        </w:tc>
        <w:tc>
          <w:tcPr>
            <w:tcW w:w="1980" w:type="dxa"/>
            <w:shd w:val="clear" w:color="auto" w:fill="auto"/>
          </w:tcPr>
          <w:p w:rsidR="004C7A4F" w:rsidRDefault="004C7A4F" w:rsidP="00B61E07">
            <w:pPr>
              <w:spacing w:line="360" w:lineRule="auto"/>
              <w:rPr>
                <w:rFonts w:hint="cs"/>
                <w:rtl/>
              </w:rPr>
            </w:pPr>
            <w:r>
              <w:rPr>
                <w:rFonts w:hint="cs"/>
                <w:rtl/>
              </w:rPr>
              <w:t xml:space="preserve">אחריתה של ממלכת ישראל  </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t>8</w:t>
            </w:r>
          </w:p>
        </w:tc>
        <w:tc>
          <w:tcPr>
            <w:tcW w:w="2178" w:type="dxa"/>
            <w:shd w:val="clear" w:color="auto" w:fill="auto"/>
          </w:tcPr>
          <w:p w:rsidR="004C7A4F" w:rsidRPr="00AF0248" w:rsidRDefault="004C7A4F" w:rsidP="00B61E07">
            <w:pPr>
              <w:spacing w:line="360" w:lineRule="auto"/>
            </w:pPr>
            <w:r>
              <w:rPr>
                <w:rFonts w:hint="cs"/>
                <w:rtl/>
              </w:rPr>
              <w:t>אשור והמערב</w:t>
            </w:r>
          </w:p>
        </w:tc>
        <w:tc>
          <w:tcPr>
            <w:tcW w:w="1980" w:type="dxa"/>
            <w:shd w:val="clear" w:color="auto" w:fill="auto"/>
          </w:tcPr>
          <w:p w:rsidR="004C7A4F" w:rsidRPr="00AF0248" w:rsidRDefault="004C7A4F" w:rsidP="00B61E07">
            <w:pPr>
              <w:spacing w:line="360" w:lineRule="auto"/>
            </w:pPr>
            <w:r>
              <w:rPr>
                <w:rFonts w:hint="cs"/>
                <w:rtl/>
              </w:rPr>
              <w:t>נאמן 1994</w:t>
            </w:r>
          </w:p>
        </w:tc>
        <w:tc>
          <w:tcPr>
            <w:tcW w:w="1980" w:type="dxa"/>
            <w:shd w:val="clear" w:color="auto" w:fill="auto"/>
          </w:tcPr>
          <w:p w:rsidR="004C7A4F" w:rsidRPr="00AF0248" w:rsidRDefault="004C7A4F" w:rsidP="00B61E07">
            <w:pPr>
              <w:spacing w:line="360" w:lineRule="auto"/>
            </w:pPr>
            <w:r>
              <w:rPr>
                <w:rFonts w:hint="cs"/>
                <w:rtl/>
              </w:rPr>
              <w:t xml:space="preserve">מדיניותם של אחז, חזקיהו ומנשה </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t>9</w:t>
            </w:r>
          </w:p>
        </w:tc>
        <w:tc>
          <w:tcPr>
            <w:tcW w:w="2178" w:type="dxa"/>
            <w:shd w:val="clear" w:color="auto" w:fill="auto"/>
          </w:tcPr>
          <w:p w:rsidR="004C7A4F" w:rsidRPr="00AF0248" w:rsidRDefault="004C7A4F" w:rsidP="00B61E07">
            <w:pPr>
              <w:spacing w:line="360" w:lineRule="auto"/>
            </w:pPr>
            <w:r>
              <w:rPr>
                <w:rFonts w:hint="cs"/>
                <w:rtl/>
              </w:rPr>
              <w:t xml:space="preserve">המסעות הצבאיים של סרגון השני וסנחריב </w:t>
            </w:r>
          </w:p>
        </w:tc>
        <w:tc>
          <w:tcPr>
            <w:tcW w:w="1980" w:type="dxa"/>
            <w:shd w:val="clear" w:color="auto" w:fill="auto"/>
          </w:tcPr>
          <w:p w:rsidR="004C7A4F" w:rsidRPr="00272CCE" w:rsidRDefault="004C7A4F" w:rsidP="00B61E07">
            <w:pPr>
              <w:spacing w:line="360" w:lineRule="auto"/>
              <w:rPr>
                <w:rFonts w:hint="cs"/>
                <w:rtl/>
              </w:rPr>
            </w:pPr>
            <w:r w:rsidRPr="00272CCE">
              <w:t>Younger</w:t>
            </w:r>
            <w:r>
              <w:rPr>
                <w:lang w:val="en-GB"/>
              </w:rPr>
              <w:t xml:space="preserve"> 2013; </w:t>
            </w:r>
            <w:r>
              <w:rPr>
                <w:rFonts w:hint="cs"/>
                <w:rtl/>
              </w:rPr>
              <w:t>קאהן 2010; אוסישקין 2013.</w:t>
            </w:r>
          </w:p>
        </w:tc>
        <w:tc>
          <w:tcPr>
            <w:tcW w:w="1980" w:type="dxa"/>
            <w:shd w:val="clear" w:color="auto" w:fill="auto"/>
          </w:tcPr>
          <w:p w:rsidR="004C7A4F" w:rsidRPr="00AF0248" w:rsidRDefault="004C7A4F" w:rsidP="00B61E07">
            <w:pPr>
              <w:spacing w:line="360" w:lineRule="auto"/>
            </w:pPr>
            <w:r w:rsidRPr="00272CCE">
              <w:rPr>
                <w:rtl/>
              </w:rPr>
              <w:t>יחסי אשור עם ישראל, יהודה ופלשת</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t>10</w:t>
            </w:r>
          </w:p>
        </w:tc>
        <w:tc>
          <w:tcPr>
            <w:tcW w:w="2178" w:type="dxa"/>
            <w:shd w:val="clear" w:color="auto" w:fill="auto"/>
          </w:tcPr>
          <w:p w:rsidR="004C7A4F" w:rsidRPr="00AF0248" w:rsidRDefault="004C7A4F" w:rsidP="00B61E07">
            <w:pPr>
              <w:spacing w:line="360" w:lineRule="auto"/>
            </w:pPr>
            <w:r>
              <w:rPr>
                <w:rFonts w:hint="cs"/>
                <w:rtl/>
              </w:rPr>
              <w:t xml:space="preserve">תרבות חומרית אשורית בארץ ישראל </w:t>
            </w:r>
          </w:p>
        </w:tc>
        <w:tc>
          <w:tcPr>
            <w:tcW w:w="1980" w:type="dxa"/>
            <w:shd w:val="clear" w:color="auto" w:fill="auto"/>
          </w:tcPr>
          <w:p w:rsidR="004C7A4F" w:rsidRPr="00AF0248" w:rsidRDefault="004C7A4F" w:rsidP="00B61E07">
            <w:pPr>
              <w:spacing w:line="360" w:lineRule="auto"/>
            </w:pPr>
            <w:r>
              <w:rPr>
                <w:rFonts w:hint="cs"/>
                <w:rtl/>
              </w:rPr>
              <w:t xml:space="preserve">טל ופנטלקין 2009; לוי ואחרים 2014; </w:t>
            </w:r>
            <w:r>
              <w:rPr>
                <w:rFonts w:hint="cs"/>
                <w:rtl/>
              </w:rPr>
              <w:lastRenderedPageBreak/>
              <w:t>קוגן זהבי; שטרן 1999</w:t>
            </w:r>
          </w:p>
        </w:tc>
        <w:tc>
          <w:tcPr>
            <w:tcW w:w="1980" w:type="dxa"/>
            <w:shd w:val="clear" w:color="auto" w:fill="auto"/>
          </w:tcPr>
          <w:p w:rsidR="004C7A4F" w:rsidRPr="00EE38F2" w:rsidRDefault="004C7A4F" w:rsidP="00B61E07">
            <w:pPr>
              <w:spacing w:line="360" w:lineRule="auto"/>
            </w:pPr>
            <w:r>
              <w:rPr>
                <w:rFonts w:hint="cs"/>
                <w:rtl/>
              </w:rPr>
              <w:lastRenderedPageBreak/>
              <w:t xml:space="preserve">המצודות האשוריות בארץ ישראל </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lastRenderedPageBreak/>
              <w:t>11</w:t>
            </w:r>
          </w:p>
        </w:tc>
        <w:tc>
          <w:tcPr>
            <w:tcW w:w="2178" w:type="dxa"/>
            <w:shd w:val="clear" w:color="auto" w:fill="auto"/>
          </w:tcPr>
          <w:p w:rsidR="004C7A4F" w:rsidRPr="00AF0248" w:rsidRDefault="004C7A4F" w:rsidP="00B61E07">
            <w:pPr>
              <w:spacing w:line="360" w:lineRule="auto"/>
            </w:pPr>
            <w:r>
              <w:rPr>
                <w:rFonts w:hint="cs"/>
                <w:rtl/>
              </w:rPr>
              <w:t>"קנקני למלך"</w:t>
            </w:r>
          </w:p>
        </w:tc>
        <w:tc>
          <w:tcPr>
            <w:tcW w:w="1980" w:type="dxa"/>
            <w:shd w:val="clear" w:color="auto" w:fill="auto"/>
          </w:tcPr>
          <w:p w:rsidR="004C7A4F" w:rsidRDefault="004C7A4F" w:rsidP="00B61E07">
            <w:pPr>
              <w:spacing w:line="360" w:lineRule="auto"/>
            </w:pPr>
            <w:r>
              <w:rPr>
                <w:rFonts w:hint="cs"/>
                <w:rtl/>
              </w:rPr>
              <w:t>אוסישקין 2013</w:t>
            </w:r>
          </w:p>
          <w:p w:rsidR="004C7A4F" w:rsidRPr="00D84AE5" w:rsidRDefault="004C7A4F" w:rsidP="00B61E07">
            <w:pPr>
              <w:spacing w:line="360" w:lineRule="auto"/>
              <w:jc w:val="right"/>
              <w:rPr>
                <w:rFonts w:hint="cs"/>
              </w:rPr>
            </w:pPr>
            <w:r w:rsidRPr="00D77B34">
              <w:t>Lipschits</w:t>
            </w:r>
            <w:r>
              <w:t xml:space="preserve"> et al. 2010</w:t>
            </w:r>
          </w:p>
        </w:tc>
        <w:tc>
          <w:tcPr>
            <w:tcW w:w="1980" w:type="dxa"/>
            <w:shd w:val="clear" w:color="auto" w:fill="auto"/>
          </w:tcPr>
          <w:p w:rsidR="004C7A4F" w:rsidRPr="00AF0248" w:rsidRDefault="004C7A4F" w:rsidP="00B61E07">
            <w:pPr>
              <w:spacing w:line="360" w:lineRule="auto"/>
            </w:pPr>
            <w:r>
              <w:rPr>
                <w:rFonts w:hint="cs"/>
                <w:rtl/>
              </w:rPr>
              <w:t>משמעותם והמחלוקת על תיארוך קנקנים אלו</w:t>
            </w: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sidRPr="00AF0248">
              <w:rPr>
                <w:rtl/>
              </w:rPr>
              <w:t>1</w:t>
            </w:r>
            <w:r>
              <w:rPr>
                <w:rFonts w:hint="cs"/>
                <w:rtl/>
              </w:rPr>
              <w:t>2</w:t>
            </w:r>
          </w:p>
        </w:tc>
        <w:tc>
          <w:tcPr>
            <w:tcW w:w="2178" w:type="dxa"/>
            <w:shd w:val="clear" w:color="auto" w:fill="auto"/>
          </w:tcPr>
          <w:p w:rsidR="004C7A4F" w:rsidRPr="00AF0248" w:rsidRDefault="004C7A4F" w:rsidP="00B61E07">
            <w:pPr>
              <w:spacing w:line="360" w:lineRule="auto"/>
            </w:pPr>
            <w:r>
              <w:rPr>
                <w:rFonts w:hint="cs"/>
                <w:rtl/>
              </w:rPr>
              <w:t>ירושלים ויהודה במאה השמינית לפנה"ס לאור המדיניות האשורית</w:t>
            </w:r>
          </w:p>
        </w:tc>
        <w:tc>
          <w:tcPr>
            <w:tcW w:w="1980" w:type="dxa"/>
            <w:shd w:val="clear" w:color="auto" w:fill="auto"/>
          </w:tcPr>
          <w:p w:rsidR="004C7A4F" w:rsidRDefault="004C7A4F" w:rsidP="00B61E07">
            <w:pPr>
              <w:spacing w:line="360" w:lineRule="auto"/>
            </w:pPr>
            <w:r>
              <w:rPr>
                <w:rFonts w:hint="cs"/>
                <w:rtl/>
              </w:rPr>
              <w:t xml:space="preserve">רייך ושוקרון 2012; </w:t>
            </w:r>
          </w:p>
          <w:p w:rsidR="004C7A4F" w:rsidRPr="00AF0248" w:rsidRDefault="004C7A4F" w:rsidP="00B61E07">
            <w:pPr>
              <w:bidi w:val="0"/>
              <w:spacing w:line="360" w:lineRule="auto"/>
            </w:pPr>
            <w:r w:rsidRPr="00D77B34">
              <w:t>Na’aman</w:t>
            </w:r>
            <w:r>
              <w:t xml:space="preserve"> 2009</w:t>
            </w:r>
          </w:p>
        </w:tc>
        <w:tc>
          <w:tcPr>
            <w:tcW w:w="1980" w:type="dxa"/>
            <w:shd w:val="clear" w:color="auto" w:fill="auto"/>
          </w:tcPr>
          <w:p w:rsidR="004C7A4F" w:rsidRPr="00AF0248" w:rsidRDefault="004C7A4F" w:rsidP="00B61E07">
            <w:pPr>
              <w:spacing w:line="360" w:lineRule="auto"/>
            </w:pP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sidRPr="00AF0248">
              <w:rPr>
                <w:rtl/>
              </w:rPr>
              <w:t>1</w:t>
            </w:r>
            <w:r>
              <w:rPr>
                <w:rFonts w:hint="cs"/>
                <w:rtl/>
              </w:rPr>
              <w:t>2</w:t>
            </w:r>
          </w:p>
        </w:tc>
        <w:tc>
          <w:tcPr>
            <w:tcW w:w="2178" w:type="dxa"/>
            <w:shd w:val="clear" w:color="auto" w:fill="auto"/>
          </w:tcPr>
          <w:p w:rsidR="004C7A4F" w:rsidRPr="00AF0248" w:rsidRDefault="004C7A4F" w:rsidP="00B61E07">
            <w:pPr>
              <w:spacing w:line="360" w:lineRule="auto"/>
            </w:pPr>
            <w:r w:rsidRPr="00D77B34">
              <w:rPr>
                <w:rtl/>
              </w:rPr>
              <w:t>ירושלים ויהודה במאה השמינית לפנה"ס לאור המדיניות האשורית</w:t>
            </w:r>
          </w:p>
        </w:tc>
        <w:tc>
          <w:tcPr>
            <w:tcW w:w="1980" w:type="dxa"/>
            <w:shd w:val="clear" w:color="auto" w:fill="auto"/>
          </w:tcPr>
          <w:p w:rsidR="004C7A4F" w:rsidRPr="00AF0248" w:rsidRDefault="004C7A4F" w:rsidP="00B61E07">
            <w:pPr>
              <w:spacing w:line="360" w:lineRule="auto"/>
              <w:rPr>
                <w:rFonts w:hint="cs"/>
              </w:rPr>
            </w:pPr>
          </w:p>
        </w:tc>
        <w:tc>
          <w:tcPr>
            <w:tcW w:w="1980" w:type="dxa"/>
            <w:shd w:val="clear" w:color="auto" w:fill="auto"/>
          </w:tcPr>
          <w:p w:rsidR="004C7A4F" w:rsidRPr="00AF0248" w:rsidRDefault="004C7A4F" w:rsidP="00B61E07">
            <w:pPr>
              <w:spacing w:line="360" w:lineRule="auto"/>
            </w:pPr>
          </w:p>
        </w:tc>
      </w:tr>
      <w:tr w:rsidR="004C7A4F" w:rsidRPr="00AF0248" w:rsidTr="00B61E07">
        <w:trPr>
          <w:jc w:val="center"/>
        </w:trPr>
        <w:tc>
          <w:tcPr>
            <w:tcW w:w="1349" w:type="dxa"/>
            <w:shd w:val="clear" w:color="auto" w:fill="auto"/>
          </w:tcPr>
          <w:p w:rsidR="004C7A4F" w:rsidRPr="00AF0248" w:rsidRDefault="004C7A4F" w:rsidP="00B61E07">
            <w:pPr>
              <w:spacing w:line="360" w:lineRule="auto"/>
              <w:rPr>
                <w:rtl/>
              </w:rPr>
            </w:pPr>
            <w:r>
              <w:rPr>
                <w:rFonts w:hint="cs"/>
                <w:rtl/>
              </w:rPr>
              <w:t>13</w:t>
            </w:r>
          </w:p>
        </w:tc>
        <w:tc>
          <w:tcPr>
            <w:tcW w:w="2178" w:type="dxa"/>
            <w:shd w:val="clear" w:color="auto" w:fill="auto"/>
          </w:tcPr>
          <w:p w:rsidR="004C7A4F" w:rsidRPr="00AF0248" w:rsidRDefault="004C7A4F" w:rsidP="00B61E07">
            <w:pPr>
              <w:spacing w:line="360" w:lineRule="auto"/>
              <w:rPr>
                <w:rtl/>
              </w:rPr>
            </w:pPr>
            <w:r w:rsidRPr="00AF0248">
              <w:rPr>
                <w:rtl/>
              </w:rPr>
              <w:t xml:space="preserve">סיכום </w:t>
            </w:r>
          </w:p>
        </w:tc>
        <w:tc>
          <w:tcPr>
            <w:tcW w:w="1980" w:type="dxa"/>
            <w:shd w:val="clear" w:color="auto" w:fill="auto"/>
          </w:tcPr>
          <w:p w:rsidR="004C7A4F" w:rsidRPr="00AF0248" w:rsidRDefault="004C7A4F" w:rsidP="00B61E07">
            <w:pPr>
              <w:spacing w:line="360" w:lineRule="auto"/>
            </w:pPr>
          </w:p>
        </w:tc>
        <w:tc>
          <w:tcPr>
            <w:tcW w:w="1980" w:type="dxa"/>
            <w:shd w:val="clear" w:color="auto" w:fill="auto"/>
          </w:tcPr>
          <w:p w:rsidR="004C7A4F" w:rsidRPr="00AF0248" w:rsidRDefault="004C7A4F" w:rsidP="00B61E07">
            <w:pPr>
              <w:spacing w:line="360" w:lineRule="auto"/>
            </w:pPr>
          </w:p>
        </w:tc>
      </w:tr>
    </w:tbl>
    <w:p w:rsidR="004C7A4F" w:rsidRPr="00AF0248" w:rsidRDefault="004C7A4F" w:rsidP="004C7A4F">
      <w:pPr>
        <w:spacing w:line="360" w:lineRule="auto"/>
        <w:ind w:left="26"/>
      </w:pPr>
    </w:p>
    <w:p w:rsidR="004C7A4F" w:rsidRPr="00AF0248" w:rsidRDefault="004C7A4F" w:rsidP="004C7A4F">
      <w:pPr>
        <w:spacing w:line="360" w:lineRule="auto"/>
        <w:jc w:val="both"/>
        <w:rPr>
          <w:b/>
          <w:bCs/>
          <w:rtl/>
        </w:rPr>
      </w:pPr>
      <w:r w:rsidRPr="00AF0248">
        <w:rPr>
          <w:b/>
          <w:bCs/>
          <w:rtl/>
        </w:rPr>
        <w:t>חובות / דרישות / מטלות:</w:t>
      </w:r>
    </w:p>
    <w:p w:rsidR="004C7A4F" w:rsidRPr="00AF0248" w:rsidRDefault="004C7A4F" w:rsidP="004C7A4F">
      <w:pPr>
        <w:jc w:val="both"/>
        <w:rPr>
          <w:rtl/>
        </w:rPr>
      </w:pPr>
      <w:r w:rsidRPr="00AF0248">
        <w:rPr>
          <w:rFonts w:eastAsia="Tahoma"/>
          <w:i/>
          <w:iCs/>
          <w:color w:val="212121"/>
          <w:rtl/>
        </w:rPr>
        <w:t>בקורס</w:t>
      </w:r>
      <w:r w:rsidRPr="00AF0248">
        <w:rPr>
          <w:i/>
          <w:iCs/>
          <w:color w:val="212121"/>
          <w:rtl/>
        </w:rPr>
        <w:t xml:space="preserve"> </w:t>
      </w:r>
      <w:r w:rsidRPr="00AF0248">
        <w:rPr>
          <w:rFonts w:eastAsia="Tahoma"/>
          <w:i/>
          <w:iCs/>
          <w:color w:val="212121"/>
          <w:rtl/>
        </w:rPr>
        <w:t>זה</w:t>
      </w:r>
      <w:r w:rsidRPr="00AF0248">
        <w:rPr>
          <w:i/>
          <w:iCs/>
          <w:color w:val="212121"/>
          <w:rtl/>
        </w:rPr>
        <w:t xml:space="preserve"> </w:t>
      </w:r>
      <w:r w:rsidRPr="00AF0248">
        <w:rPr>
          <w:rFonts w:eastAsia="Tahoma"/>
          <w:i/>
          <w:iCs/>
          <w:color w:val="212121"/>
          <w:rtl/>
        </w:rPr>
        <w:t>יש</w:t>
      </w:r>
      <w:r w:rsidRPr="00AF0248">
        <w:rPr>
          <w:i/>
          <w:iCs/>
          <w:color w:val="212121"/>
          <w:rtl/>
        </w:rPr>
        <w:t xml:space="preserve"> </w:t>
      </w:r>
      <w:r w:rsidRPr="00AF0248">
        <w:rPr>
          <w:rFonts w:eastAsia="Tahoma"/>
          <w:i/>
          <w:iCs/>
          <w:color w:val="212121"/>
          <w:rtl/>
        </w:rPr>
        <w:t>חובת</w:t>
      </w:r>
      <w:r w:rsidRPr="00AF0248">
        <w:rPr>
          <w:i/>
          <w:iCs/>
          <w:color w:val="212121"/>
          <w:rtl/>
        </w:rPr>
        <w:t xml:space="preserve"> </w:t>
      </w:r>
      <w:r w:rsidRPr="00AF0248">
        <w:rPr>
          <w:rFonts w:eastAsia="Tahoma"/>
          <w:i/>
          <w:iCs/>
          <w:color w:val="212121"/>
          <w:rtl/>
        </w:rPr>
        <w:t>נוכחות</w:t>
      </w:r>
      <w:r w:rsidRPr="00AF0248">
        <w:rPr>
          <w:i/>
          <w:iCs/>
          <w:color w:val="212121"/>
          <w:rtl/>
        </w:rPr>
        <w:t xml:space="preserve"> </w:t>
      </w:r>
      <w:r w:rsidRPr="00AF0248">
        <w:rPr>
          <w:rFonts w:eastAsia="Tahoma"/>
          <w:i/>
          <w:iCs/>
          <w:color w:val="212121"/>
          <w:rtl/>
        </w:rPr>
        <w:t>של 85%</w:t>
      </w:r>
      <w:r w:rsidRPr="00AF0248">
        <w:rPr>
          <w:i/>
          <w:iCs/>
          <w:color w:val="212121"/>
          <w:rtl/>
        </w:rPr>
        <w:t xml:space="preserve"> </w:t>
      </w:r>
      <w:r w:rsidRPr="00AF0248">
        <w:rPr>
          <w:rFonts w:eastAsia="Tahoma"/>
          <w:i/>
          <w:iCs/>
          <w:color w:val="212121"/>
          <w:rtl/>
        </w:rPr>
        <w:t>מהשיעורים</w:t>
      </w:r>
      <w:r w:rsidRPr="00AF0248">
        <w:rPr>
          <w:i/>
          <w:iCs/>
          <w:color w:val="212121"/>
          <w:rtl/>
        </w:rPr>
        <w:t>, ש</w:t>
      </w:r>
      <w:r w:rsidRPr="00AF0248">
        <w:rPr>
          <w:rFonts w:eastAsia="Tahoma"/>
          <w:i/>
          <w:iCs/>
          <w:color w:val="212121"/>
          <w:rtl/>
        </w:rPr>
        <w:t>תיבדק</w:t>
      </w:r>
      <w:r w:rsidRPr="00AF0248">
        <w:rPr>
          <w:i/>
          <w:iCs/>
          <w:color w:val="212121"/>
          <w:rtl/>
        </w:rPr>
        <w:t xml:space="preserve"> </w:t>
      </w:r>
      <w:r w:rsidRPr="00AF0248">
        <w:rPr>
          <w:rFonts w:eastAsia="Tahoma"/>
          <w:i/>
          <w:iCs/>
          <w:color w:val="212121"/>
          <w:rtl/>
        </w:rPr>
        <w:t>מדי</w:t>
      </w:r>
      <w:r w:rsidRPr="00AF0248">
        <w:rPr>
          <w:i/>
          <w:iCs/>
          <w:color w:val="212121"/>
          <w:rtl/>
        </w:rPr>
        <w:t xml:space="preserve"> </w:t>
      </w:r>
      <w:r w:rsidRPr="00AF0248">
        <w:rPr>
          <w:rFonts w:eastAsia="Tahoma"/>
          <w:i/>
          <w:iCs/>
          <w:color w:val="212121"/>
          <w:rtl/>
        </w:rPr>
        <w:t>שיעור</w:t>
      </w:r>
      <w:r w:rsidRPr="00AF0248">
        <w:rPr>
          <w:i/>
          <w:iCs/>
          <w:color w:val="212121"/>
          <w:rtl/>
        </w:rPr>
        <w:t xml:space="preserve">. </w:t>
      </w:r>
      <w:r w:rsidRPr="00AF0248">
        <w:rPr>
          <w:rFonts w:eastAsia="Tahoma"/>
          <w:i/>
          <w:iCs/>
          <w:color w:val="212121"/>
          <w:rtl/>
        </w:rPr>
        <w:t>תלמיד</w:t>
      </w:r>
      <w:r w:rsidRPr="00AF0248">
        <w:rPr>
          <w:i/>
          <w:iCs/>
          <w:color w:val="212121"/>
          <w:rtl/>
        </w:rPr>
        <w:t xml:space="preserve"> </w:t>
      </w:r>
      <w:r w:rsidRPr="00AF0248">
        <w:rPr>
          <w:rFonts w:eastAsia="Tahoma"/>
          <w:i/>
          <w:iCs/>
          <w:color w:val="212121"/>
          <w:rtl/>
        </w:rPr>
        <w:t>שייעדר</w:t>
      </w:r>
      <w:r w:rsidRPr="00AF0248">
        <w:rPr>
          <w:i/>
          <w:iCs/>
          <w:color w:val="212121"/>
          <w:rtl/>
        </w:rPr>
        <w:t xml:space="preserve"> מעל </w:t>
      </w:r>
      <w:r w:rsidRPr="00AF0248">
        <w:rPr>
          <w:rFonts w:eastAsia="Tahoma"/>
          <w:i/>
          <w:iCs/>
          <w:color w:val="212121"/>
          <w:rtl/>
        </w:rPr>
        <w:t>שתי</w:t>
      </w:r>
      <w:r w:rsidRPr="00AF0248">
        <w:rPr>
          <w:i/>
          <w:iCs/>
          <w:color w:val="212121"/>
          <w:rtl/>
        </w:rPr>
        <w:t xml:space="preserve"> </w:t>
      </w:r>
      <w:r w:rsidRPr="00AF0248">
        <w:rPr>
          <w:rFonts w:eastAsia="Tahoma"/>
          <w:i/>
          <w:iCs/>
          <w:color w:val="212121"/>
          <w:rtl/>
        </w:rPr>
        <w:t>הרצאות</w:t>
      </w:r>
      <w:r w:rsidRPr="00AF0248">
        <w:rPr>
          <w:i/>
          <w:iCs/>
          <w:color w:val="212121"/>
          <w:rtl/>
        </w:rPr>
        <w:t xml:space="preserve"> </w:t>
      </w:r>
      <w:r w:rsidRPr="00AF0248">
        <w:rPr>
          <w:rFonts w:eastAsia="Tahoma"/>
          <w:i/>
          <w:iCs/>
          <w:color w:val="212121"/>
          <w:rtl/>
        </w:rPr>
        <w:t>ללא</w:t>
      </w:r>
      <w:r w:rsidRPr="00AF0248">
        <w:rPr>
          <w:i/>
          <w:iCs/>
          <w:color w:val="212121"/>
          <w:rtl/>
        </w:rPr>
        <w:t xml:space="preserve"> </w:t>
      </w:r>
      <w:r w:rsidRPr="00AF0248">
        <w:rPr>
          <w:rFonts w:eastAsia="Tahoma"/>
          <w:i/>
          <w:iCs/>
          <w:color w:val="212121"/>
          <w:rtl/>
        </w:rPr>
        <w:t>סיבה</w:t>
      </w:r>
      <w:r w:rsidRPr="00AF0248">
        <w:rPr>
          <w:i/>
          <w:iCs/>
          <w:color w:val="212121"/>
          <w:rtl/>
        </w:rPr>
        <w:t xml:space="preserve"> </w:t>
      </w:r>
      <w:r w:rsidRPr="00AF0248">
        <w:rPr>
          <w:rFonts w:eastAsia="Tahoma"/>
          <w:i/>
          <w:iCs/>
          <w:color w:val="212121"/>
          <w:rtl/>
        </w:rPr>
        <w:t>מוצדקת</w:t>
      </w:r>
      <w:r w:rsidRPr="00AF0248">
        <w:rPr>
          <w:i/>
          <w:iCs/>
          <w:color w:val="212121"/>
          <w:rtl/>
        </w:rPr>
        <w:t xml:space="preserve"> </w:t>
      </w:r>
      <w:r w:rsidRPr="00AF0248">
        <w:rPr>
          <w:rFonts w:eastAsia="Tahoma"/>
          <w:i/>
          <w:iCs/>
          <w:color w:val="212121"/>
          <w:rtl/>
        </w:rPr>
        <w:t>לא</w:t>
      </w:r>
      <w:r w:rsidRPr="00AF0248">
        <w:rPr>
          <w:i/>
          <w:iCs/>
          <w:color w:val="212121"/>
          <w:rtl/>
        </w:rPr>
        <w:t xml:space="preserve"> </w:t>
      </w:r>
      <w:r w:rsidRPr="00AF0248">
        <w:rPr>
          <w:rFonts w:eastAsia="Tahoma"/>
          <w:i/>
          <w:iCs/>
          <w:color w:val="212121"/>
          <w:rtl/>
        </w:rPr>
        <w:t>יורשה</w:t>
      </w:r>
      <w:r w:rsidRPr="00AF0248">
        <w:rPr>
          <w:i/>
          <w:iCs/>
          <w:color w:val="212121"/>
          <w:rtl/>
        </w:rPr>
        <w:t xml:space="preserve"> </w:t>
      </w:r>
      <w:r w:rsidRPr="00AF0248">
        <w:rPr>
          <w:rFonts w:eastAsia="Tahoma"/>
          <w:i/>
          <w:iCs/>
          <w:color w:val="212121"/>
          <w:rtl/>
        </w:rPr>
        <w:t>לגשת</w:t>
      </w:r>
      <w:r w:rsidRPr="00AF0248">
        <w:rPr>
          <w:i/>
          <w:iCs/>
          <w:color w:val="212121"/>
          <w:rtl/>
        </w:rPr>
        <w:t xml:space="preserve"> </w:t>
      </w:r>
      <w:r w:rsidRPr="00AF0248">
        <w:rPr>
          <w:rFonts w:eastAsia="Tahoma"/>
          <w:i/>
          <w:iCs/>
          <w:color w:val="212121"/>
          <w:rtl/>
        </w:rPr>
        <w:t>לבחינה</w:t>
      </w:r>
      <w:r w:rsidRPr="00AF0248">
        <w:rPr>
          <w:i/>
          <w:iCs/>
          <w:color w:val="212121"/>
          <w:rtl/>
        </w:rPr>
        <w:t xml:space="preserve"> </w:t>
      </w:r>
      <w:r w:rsidRPr="00AF0248">
        <w:rPr>
          <w:rFonts w:eastAsia="Tahoma"/>
          <w:i/>
          <w:iCs/>
          <w:color w:val="212121"/>
          <w:rtl/>
        </w:rPr>
        <w:t>המסכמת</w:t>
      </w:r>
      <w:r w:rsidRPr="00AF0248">
        <w:rPr>
          <w:i/>
          <w:iCs/>
          <w:color w:val="212121"/>
          <w:rtl/>
        </w:rPr>
        <w:t xml:space="preserve"> </w:t>
      </w:r>
      <w:r w:rsidRPr="00AF0248">
        <w:rPr>
          <w:rFonts w:eastAsia="Tahoma"/>
          <w:i/>
          <w:iCs/>
          <w:color w:val="212121"/>
          <w:rtl/>
        </w:rPr>
        <w:t>או</w:t>
      </w:r>
      <w:r w:rsidRPr="00AF0248">
        <w:rPr>
          <w:i/>
          <w:iCs/>
          <w:color w:val="212121"/>
          <w:rtl/>
        </w:rPr>
        <w:t xml:space="preserve"> </w:t>
      </w:r>
      <w:r w:rsidRPr="00AF0248">
        <w:rPr>
          <w:rFonts w:eastAsia="Tahoma"/>
          <w:i/>
          <w:iCs/>
          <w:color w:val="212121"/>
          <w:rtl/>
        </w:rPr>
        <w:t>להגיש</w:t>
      </w:r>
      <w:r w:rsidRPr="00AF0248">
        <w:rPr>
          <w:i/>
          <w:iCs/>
          <w:color w:val="212121"/>
          <w:rtl/>
        </w:rPr>
        <w:t xml:space="preserve"> עבודה, ולא יקבל ציון </w:t>
      </w:r>
      <w:r w:rsidRPr="00AF0248">
        <w:rPr>
          <w:rFonts w:eastAsia="Tahoma"/>
          <w:i/>
          <w:iCs/>
          <w:color w:val="212121"/>
          <w:rtl/>
        </w:rPr>
        <w:t>בקורס</w:t>
      </w:r>
      <w:r w:rsidRPr="00AF0248">
        <w:rPr>
          <w:i/>
          <w:iCs/>
          <w:color w:val="212121"/>
          <w:rtl/>
        </w:rPr>
        <w:t>.</w:t>
      </w:r>
    </w:p>
    <w:p w:rsidR="004C7A4F" w:rsidRPr="00AF0248" w:rsidRDefault="004C7A4F" w:rsidP="004C7A4F">
      <w:pPr>
        <w:spacing w:line="360" w:lineRule="auto"/>
        <w:jc w:val="both"/>
        <w:rPr>
          <w:rtl/>
        </w:rPr>
      </w:pPr>
    </w:p>
    <w:p w:rsidR="004C7A4F" w:rsidRPr="00AF0248" w:rsidRDefault="004C7A4F" w:rsidP="004C7A4F">
      <w:pPr>
        <w:spacing w:line="360" w:lineRule="auto"/>
        <w:jc w:val="both"/>
        <w:rPr>
          <w:b/>
          <w:bCs/>
          <w:rtl/>
        </w:rPr>
      </w:pPr>
      <w:r w:rsidRPr="00AF0248">
        <w:rPr>
          <w:b/>
          <w:bCs/>
          <w:rtl/>
        </w:rPr>
        <w:t>ה. מרכיבי הציון הסופי:</w:t>
      </w:r>
    </w:p>
    <w:p w:rsidR="004C7A4F" w:rsidRPr="00AF0248" w:rsidRDefault="004C7A4F" w:rsidP="004C7A4F">
      <w:pPr>
        <w:spacing w:line="360" w:lineRule="auto"/>
        <w:jc w:val="both"/>
        <w:rPr>
          <w:b/>
          <w:bCs/>
          <w:rtl/>
        </w:rPr>
      </w:pPr>
      <w:r w:rsidRPr="00AF0248">
        <w:rPr>
          <w:b/>
          <w:bCs/>
          <w:rtl/>
        </w:rPr>
        <w:t xml:space="preserve"> - אין דרישות מוקדמות </w:t>
      </w:r>
    </w:p>
    <w:p w:rsidR="004C7A4F" w:rsidRPr="00AF0248" w:rsidRDefault="004C7A4F" w:rsidP="004C7A4F">
      <w:pPr>
        <w:spacing w:line="360" w:lineRule="auto"/>
        <w:jc w:val="both"/>
        <w:rPr>
          <w:b/>
          <w:bCs/>
          <w:rtl/>
        </w:rPr>
      </w:pPr>
      <w:r w:rsidRPr="00AF0248">
        <w:rPr>
          <w:b/>
          <w:bCs/>
          <w:rtl/>
        </w:rPr>
        <w:t>- הציון הסופי מורכב מ:</w:t>
      </w:r>
    </w:p>
    <w:p w:rsidR="004C7A4F" w:rsidRPr="00AF0248" w:rsidRDefault="004C7A4F" w:rsidP="004C7A4F">
      <w:pPr>
        <w:spacing w:line="360" w:lineRule="auto"/>
        <w:jc w:val="both"/>
        <w:rPr>
          <w:b/>
          <w:bCs/>
          <w:rtl/>
        </w:rPr>
      </w:pPr>
      <w:r w:rsidRPr="00AF0248">
        <w:rPr>
          <w:b/>
          <w:bCs/>
          <w:rtl/>
        </w:rPr>
        <w:t xml:space="preserve"> 30% מטלות – מבוססות מערכת מודל</w:t>
      </w:r>
    </w:p>
    <w:p w:rsidR="004C7A4F" w:rsidRDefault="004C7A4F" w:rsidP="004C7A4F">
      <w:pPr>
        <w:spacing w:line="360" w:lineRule="auto"/>
        <w:jc w:val="both"/>
        <w:rPr>
          <w:b/>
          <w:bCs/>
        </w:rPr>
      </w:pPr>
      <w:r w:rsidRPr="00AF0248">
        <w:rPr>
          <w:b/>
          <w:bCs/>
          <w:rtl/>
        </w:rPr>
        <w:t xml:space="preserve"> 70% מבחן סופי </w:t>
      </w:r>
      <w:r>
        <w:rPr>
          <w:b/>
          <w:bCs/>
          <w:rtl/>
        </w:rPr>
        <w:t>–</w:t>
      </w:r>
      <w:r w:rsidRPr="00AF0248">
        <w:rPr>
          <w:b/>
          <w:bCs/>
          <w:rtl/>
        </w:rPr>
        <w:t xml:space="preserve"> </w:t>
      </w:r>
      <w:r>
        <w:rPr>
          <w:rFonts w:hint="cs"/>
          <w:b/>
          <w:bCs/>
          <w:rtl/>
        </w:rPr>
        <w:t>רב ברירתי</w:t>
      </w:r>
    </w:p>
    <w:p w:rsidR="004C7A4F" w:rsidRPr="00D77B34" w:rsidRDefault="004C7A4F" w:rsidP="004C7A4F">
      <w:pPr>
        <w:spacing w:line="360" w:lineRule="auto"/>
        <w:jc w:val="both"/>
        <w:rPr>
          <w:b/>
          <w:bCs/>
        </w:rPr>
      </w:pPr>
    </w:p>
    <w:p w:rsidR="004C7A4F" w:rsidRDefault="004C7A4F" w:rsidP="004C7A4F">
      <w:pPr>
        <w:bidi w:val="0"/>
        <w:rPr>
          <w:b/>
          <w:bCs/>
          <w:rtl/>
        </w:rPr>
      </w:pPr>
      <w:r w:rsidRPr="00E168D9">
        <w:rPr>
          <w:rtl/>
        </w:rPr>
        <w:t>"</w:t>
      </w:r>
      <w:r>
        <w:rPr>
          <w:b/>
          <w:bCs/>
          <w:rtl/>
        </w:rPr>
        <w:t xml:space="preserve"> </w:t>
      </w:r>
    </w:p>
    <w:p w:rsidR="004C7A4F" w:rsidRPr="00AF0248" w:rsidRDefault="004C7A4F" w:rsidP="004C7A4F">
      <w:pPr>
        <w:rPr>
          <w:b/>
          <w:bCs/>
          <w:rtl/>
        </w:rPr>
      </w:pPr>
      <w:r w:rsidRPr="00AF0248">
        <w:rPr>
          <w:b/>
          <w:bCs/>
          <w:rtl/>
        </w:rPr>
        <w:t xml:space="preserve">ביבליוגרפיה נבחרת – ביבליוגרפיה נוספת תחולק בקורס: </w:t>
      </w:r>
    </w:p>
    <w:p w:rsidR="004C7A4F" w:rsidRPr="00AF0248" w:rsidRDefault="004C7A4F" w:rsidP="004C7A4F">
      <w:pPr>
        <w:rPr>
          <w:b/>
          <w:bCs/>
          <w:rtl/>
        </w:rPr>
      </w:pPr>
    </w:p>
    <w:p w:rsidR="004C7A4F" w:rsidRDefault="004C7A4F" w:rsidP="004C7A4F">
      <w:pPr>
        <w:pStyle w:val="NormalWeb"/>
        <w:shd w:val="clear" w:color="auto" w:fill="FFFFFF"/>
        <w:bidi/>
        <w:spacing w:before="0" w:beforeAutospacing="0" w:after="0" w:afterAutospacing="0"/>
        <w:rPr>
          <w:rtl/>
        </w:rPr>
      </w:pPr>
      <w:r w:rsidRPr="00C1399C">
        <w:rPr>
          <w:rFonts w:hint="cs"/>
          <w:rtl/>
        </w:rPr>
        <w:t xml:space="preserve">אוסישקין, ד. 2013. לכיש בתקופת המקרא. יד בן צבי . ירושלים. </w:t>
      </w:r>
    </w:p>
    <w:p w:rsidR="004C7A4F" w:rsidRDefault="004C7A4F" w:rsidP="004C7A4F">
      <w:pPr>
        <w:pStyle w:val="NormalWeb"/>
        <w:shd w:val="clear" w:color="auto" w:fill="FFFFFF"/>
        <w:bidi/>
        <w:spacing w:before="0" w:beforeAutospacing="0" w:after="0" w:afterAutospacing="0"/>
        <w:rPr>
          <w:rtl/>
        </w:rPr>
      </w:pPr>
    </w:p>
    <w:p w:rsidR="004C7A4F" w:rsidRDefault="004C7A4F" w:rsidP="004C7A4F">
      <w:pPr>
        <w:spacing w:after="160" w:line="259" w:lineRule="auto"/>
        <w:rPr>
          <w:rFonts w:eastAsia="Calibri"/>
        </w:rPr>
      </w:pPr>
      <w:r w:rsidRPr="00660B3B">
        <w:rPr>
          <w:rFonts w:eastAsia="Calibri"/>
          <w:rtl/>
        </w:rPr>
        <w:t>אפעל, י.</w:t>
      </w:r>
      <w:r>
        <w:rPr>
          <w:rFonts w:eastAsia="Calibri" w:hint="cs"/>
          <w:rtl/>
        </w:rPr>
        <w:t xml:space="preserve"> 1982 </w:t>
      </w:r>
      <w:r w:rsidRPr="00660B3B">
        <w:rPr>
          <w:rFonts w:eastAsia="Calibri" w:hint="cs"/>
          <w:rtl/>
        </w:rPr>
        <w:t xml:space="preserve"> </w:t>
      </w:r>
      <w:r w:rsidRPr="00660B3B">
        <w:rPr>
          <w:rFonts w:eastAsia="Calibri"/>
          <w:rtl/>
        </w:rPr>
        <w:t>-</w:t>
      </w:r>
      <w:r w:rsidRPr="00660B3B">
        <w:rPr>
          <w:rFonts w:eastAsia="Calibri"/>
          <w:b/>
          <w:bCs/>
          <w:rtl/>
        </w:rPr>
        <w:t xml:space="preserve"> </w:t>
      </w:r>
      <w:r w:rsidRPr="00660B3B">
        <w:rPr>
          <w:rFonts w:eastAsia="Calibri"/>
          <w:rtl/>
        </w:rPr>
        <w:t>"אחריתה של ממלכת ישראל". בתוך: מלמט, א. (עורך).</w:t>
      </w:r>
      <w:r w:rsidRPr="00660B3B">
        <w:rPr>
          <w:rFonts w:eastAsia="Calibri"/>
          <w:i/>
          <w:iCs/>
          <w:rtl/>
        </w:rPr>
        <w:t>ההיסטוריה של עם ישראל</w:t>
      </w:r>
      <w:r w:rsidRPr="00660B3B">
        <w:rPr>
          <w:rFonts w:eastAsia="Calibri"/>
          <w:rtl/>
        </w:rPr>
        <w:t>. עם עובד. 119- 129.</w:t>
      </w:r>
    </w:p>
    <w:p w:rsidR="004C7A4F" w:rsidRPr="00660B3B" w:rsidRDefault="004C7A4F" w:rsidP="004C7A4F">
      <w:pPr>
        <w:spacing w:after="160" w:line="259" w:lineRule="auto"/>
        <w:rPr>
          <w:rFonts w:eastAsia="Calibri"/>
          <w:rtl/>
        </w:rPr>
      </w:pPr>
      <w:r w:rsidRPr="00E06E2C">
        <w:rPr>
          <w:rFonts w:eastAsia="Calibri"/>
          <w:rtl/>
        </w:rPr>
        <w:t>בונימוביץ, ש., ולדרמן, צ</w:t>
      </w:r>
      <w:r>
        <w:rPr>
          <w:rFonts w:eastAsia="Calibri" w:hint="cs"/>
          <w:rtl/>
        </w:rPr>
        <w:t>.</w:t>
      </w:r>
      <w:r>
        <w:rPr>
          <w:rFonts w:eastAsia="Calibri"/>
        </w:rPr>
        <w:t xml:space="preserve"> </w:t>
      </w:r>
      <w:r>
        <w:rPr>
          <w:rFonts w:eastAsia="Calibri" w:hint="cs"/>
          <w:rtl/>
        </w:rPr>
        <w:t xml:space="preserve"> </w:t>
      </w:r>
      <w:r w:rsidRPr="00E06E2C">
        <w:rPr>
          <w:rFonts w:eastAsia="Calibri"/>
          <w:rtl/>
        </w:rPr>
        <w:t>2004</w:t>
      </w:r>
      <w:r>
        <w:rPr>
          <w:rFonts w:eastAsia="Calibri" w:hint="cs"/>
          <w:rtl/>
        </w:rPr>
        <w:t>. "</w:t>
      </w:r>
      <w:r w:rsidRPr="00E06E2C">
        <w:rPr>
          <w:rFonts w:eastAsia="Calibri"/>
          <w:rtl/>
        </w:rPr>
        <w:t>ירושלים ובית שמש": בין בירה וגבולה". חידושים בחקר ירושלים</w:t>
      </w:r>
      <w:r>
        <w:rPr>
          <w:rFonts w:eastAsia="Calibri" w:hint="cs"/>
          <w:rtl/>
        </w:rPr>
        <w:t xml:space="preserve">. 10: 37- 51. </w:t>
      </w:r>
    </w:p>
    <w:p w:rsidR="004C7A4F" w:rsidRPr="00BB6260" w:rsidRDefault="004C7A4F" w:rsidP="004C7A4F">
      <w:pPr>
        <w:spacing w:after="160" w:line="259" w:lineRule="auto"/>
        <w:rPr>
          <w:rFonts w:eastAsia="Calibri"/>
          <w:rtl/>
        </w:rPr>
      </w:pPr>
      <w:r w:rsidRPr="00660B3B">
        <w:rPr>
          <w:rFonts w:eastAsia="Calibri"/>
          <w:rtl/>
        </w:rPr>
        <w:t>בוסתנאי, ע.</w:t>
      </w:r>
      <w:r>
        <w:rPr>
          <w:rFonts w:eastAsia="Calibri" w:hint="cs"/>
          <w:rtl/>
        </w:rPr>
        <w:t xml:space="preserve"> "</w:t>
      </w:r>
      <w:r w:rsidRPr="00BB6260">
        <w:rPr>
          <w:rFonts w:eastAsia="Calibri"/>
          <w:rtl/>
        </w:rPr>
        <w:t>אשור וערי פיניקיה בזמן האימפריה האשורית ב: מימי שלמנאסר הה' ועד סנחריב</w:t>
      </w:r>
      <w:r>
        <w:rPr>
          <w:rFonts w:eastAsia="Calibri" w:hint="cs"/>
          <w:rtl/>
        </w:rPr>
        <w:t xml:space="preserve">". </w:t>
      </w:r>
      <w:r w:rsidRPr="00BB6260">
        <w:rPr>
          <w:rFonts w:eastAsia="Calibri"/>
          <w:rtl/>
        </w:rPr>
        <w:t xml:space="preserve"> שנתון לחקר המקרא והמזרח הקדום , א : 205-211</w:t>
      </w:r>
      <w:r>
        <w:rPr>
          <w:rFonts w:eastAsia="Calibri" w:hint="cs"/>
          <w:rtl/>
        </w:rPr>
        <w:t>.</w:t>
      </w:r>
    </w:p>
    <w:p w:rsidR="004C7A4F" w:rsidRPr="00660B3B" w:rsidRDefault="004C7A4F" w:rsidP="004C7A4F">
      <w:pPr>
        <w:spacing w:after="160" w:line="259" w:lineRule="auto"/>
        <w:rPr>
          <w:rFonts w:eastAsia="Calibri"/>
          <w:rtl/>
        </w:rPr>
      </w:pPr>
      <w:r w:rsidRPr="00660B3B">
        <w:rPr>
          <w:rFonts w:eastAsia="Calibri"/>
          <w:rtl/>
        </w:rPr>
        <w:t xml:space="preserve">1984. "ממלכות ישראל ויהודה". בתוך: אפעל, י. (עורך). </w:t>
      </w:r>
      <w:r w:rsidRPr="00660B3B">
        <w:rPr>
          <w:rFonts w:eastAsia="Calibri"/>
          <w:i/>
          <w:iCs/>
          <w:rtl/>
        </w:rPr>
        <w:t>ההיסטוריה של ארץ-ישראל</w:t>
      </w:r>
      <w:r w:rsidRPr="00660B3B">
        <w:rPr>
          <w:rFonts w:eastAsia="Calibri"/>
        </w:rPr>
        <w:t xml:space="preserve">. </w:t>
      </w:r>
      <w:r w:rsidRPr="00660B3B">
        <w:rPr>
          <w:rFonts w:eastAsia="Calibri"/>
          <w:rtl/>
        </w:rPr>
        <w:t>ישראל ויהודה בתקופת המקרא. ירושלים: 176-168</w:t>
      </w:r>
      <w:r w:rsidRPr="00660B3B">
        <w:rPr>
          <w:rFonts w:eastAsia="Calibri"/>
        </w:rPr>
        <w:t>.</w:t>
      </w:r>
    </w:p>
    <w:p w:rsidR="004C7A4F" w:rsidRDefault="004C7A4F" w:rsidP="004C7A4F">
      <w:pPr>
        <w:rPr>
          <w:caps/>
          <w:color w:val="222222"/>
          <w:rtl/>
        </w:rPr>
      </w:pPr>
      <w:r w:rsidRPr="00AF0248">
        <w:rPr>
          <w:rFonts w:hint="cs"/>
          <w:caps/>
          <w:color w:val="222222"/>
          <w:rtl/>
        </w:rPr>
        <w:lastRenderedPageBreak/>
        <w:t xml:space="preserve">בן-תור, אמנון. 2015. </w:t>
      </w:r>
      <w:r w:rsidRPr="00BE7DDF">
        <w:rPr>
          <w:rFonts w:hint="cs"/>
          <w:i/>
          <w:iCs/>
          <w:caps/>
          <w:color w:val="222222"/>
          <w:rtl/>
        </w:rPr>
        <w:t>חצור מטרופולין כנענית ועיר ישראלית</w:t>
      </w:r>
      <w:r w:rsidRPr="00AF0248">
        <w:rPr>
          <w:rFonts w:hint="cs"/>
          <w:caps/>
          <w:color w:val="222222"/>
          <w:rtl/>
        </w:rPr>
        <w:t xml:space="preserve">. יד בן צבי. ירושלים. </w:t>
      </w:r>
    </w:p>
    <w:p w:rsidR="004C7A4F" w:rsidRDefault="004C7A4F" w:rsidP="004C7A4F">
      <w:pPr>
        <w:rPr>
          <w:caps/>
          <w:color w:val="222222"/>
          <w:rtl/>
        </w:rPr>
      </w:pPr>
      <w:r>
        <w:rPr>
          <w:rFonts w:hint="cs"/>
          <w:caps/>
          <w:color w:val="222222"/>
          <w:rtl/>
        </w:rPr>
        <w:t>גרשון, ג. 1992. "</w:t>
      </w:r>
      <w:r w:rsidRPr="00BB6260">
        <w:rPr>
          <w:caps/>
          <w:color w:val="222222"/>
          <w:rtl/>
        </w:rPr>
        <w:t>היחסים בין יהודה לאשור בימי סרגון ב'</w:t>
      </w:r>
      <w:r>
        <w:rPr>
          <w:rFonts w:hint="cs"/>
          <w:caps/>
          <w:color w:val="222222"/>
          <w:rtl/>
        </w:rPr>
        <w:t>".</w:t>
      </w:r>
      <w:r w:rsidRPr="00BB6260">
        <w:rPr>
          <w:caps/>
          <w:color w:val="222222"/>
          <w:rtl/>
        </w:rPr>
        <w:t>ציון: רבעון לחקר תולדות ישראל נ"ז (ב'): 111-133</w:t>
      </w:r>
      <w:r>
        <w:rPr>
          <w:rFonts w:hint="cs"/>
          <w:caps/>
          <w:color w:val="222222"/>
          <w:rtl/>
        </w:rPr>
        <w:t xml:space="preserve">. </w:t>
      </w:r>
    </w:p>
    <w:p w:rsidR="004C7A4F" w:rsidRDefault="004C7A4F" w:rsidP="004C7A4F">
      <w:pPr>
        <w:rPr>
          <w:caps/>
          <w:color w:val="222222"/>
          <w:rtl/>
        </w:rPr>
      </w:pPr>
    </w:p>
    <w:p w:rsidR="004C7A4F" w:rsidRDefault="004C7A4F" w:rsidP="004C7A4F">
      <w:pPr>
        <w:rPr>
          <w:rtl/>
        </w:rPr>
      </w:pPr>
      <w:r>
        <w:rPr>
          <w:rtl/>
        </w:rPr>
        <w:t>גלבוע, א</w:t>
      </w:r>
      <w:r>
        <w:rPr>
          <w:rFonts w:hint="cs"/>
          <w:rtl/>
        </w:rPr>
        <w:t>. 1996  "</w:t>
      </w:r>
      <w:r>
        <w:rPr>
          <w:rtl/>
        </w:rPr>
        <w:t>קיראמיקה אשורית בדור והערות למעמדה של העיר". ארץ ישראל כ"ה: 122 -130</w:t>
      </w:r>
      <w:r>
        <w:rPr>
          <w:rFonts w:hint="cs"/>
          <w:rtl/>
        </w:rPr>
        <w:t>.</w:t>
      </w:r>
    </w:p>
    <w:p w:rsidR="004C7A4F" w:rsidRDefault="004C7A4F" w:rsidP="004C7A4F">
      <w:pPr>
        <w:rPr>
          <w:caps/>
          <w:color w:val="222222"/>
          <w:rtl/>
        </w:rPr>
      </w:pPr>
    </w:p>
    <w:p w:rsidR="004C7A4F" w:rsidRDefault="004C7A4F" w:rsidP="004C7A4F">
      <w:pPr>
        <w:rPr>
          <w:caps/>
          <w:color w:val="222222"/>
          <w:rtl/>
        </w:rPr>
      </w:pPr>
      <w:r w:rsidRPr="00E06E2C">
        <w:rPr>
          <w:caps/>
          <w:color w:val="222222"/>
          <w:rtl/>
        </w:rPr>
        <w:t>טל, א. ופאנטאלקין, א.</w:t>
      </w:r>
      <w:r>
        <w:rPr>
          <w:rFonts w:hint="cs"/>
          <w:caps/>
          <w:color w:val="222222"/>
          <w:rtl/>
        </w:rPr>
        <w:t xml:space="preserve"> 2009. "</w:t>
      </w:r>
      <w:r w:rsidRPr="00E06E2C">
        <w:rPr>
          <w:caps/>
          <w:color w:val="222222"/>
          <w:rtl/>
        </w:rPr>
        <w:t xml:space="preserve">מצודה מתקופת הברזל </w:t>
      </w:r>
      <w:r w:rsidRPr="00E06E2C">
        <w:rPr>
          <w:caps/>
          <w:color w:val="222222"/>
        </w:rPr>
        <w:t>II</w:t>
      </w:r>
      <w:r w:rsidRPr="00E06E2C">
        <w:rPr>
          <w:caps/>
          <w:color w:val="222222"/>
          <w:rtl/>
        </w:rPr>
        <w:t xml:space="preserve"> בתל קודאדי: מחקר ראשוני". ארץ ישראל כט': 129 -250</w:t>
      </w:r>
      <w:r>
        <w:rPr>
          <w:rFonts w:hint="cs"/>
          <w:caps/>
          <w:color w:val="222222"/>
          <w:rtl/>
        </w:rPr>
        <w:t>.</w:t>
      </w:r>
    </w:p>
    <w:p w:rsidR="004C7A4F" w:rsidRDefault="004C7A4F" w:rsidP="004C7A4F">
      <w:pPr>
        <w:shd w:val="clear" w:color="auto" w:fill="FFFFFF"/>
        <w:spacing w:before="100" w:beforeAutospacing="1" w:after="100" w:afterAutospacing="1"/>
        <w:outlineLvl w:val="0"/>
        <w:rPr>
          <w:color w:val="222222"/>
          <w:rtl/>
        </w:rPr>
      </w:pPr>
      <w:r>
        <w:rPr>
          <w:rFonts w:hint="cs"/>
          <w:color w:val="222222"/>
          <w:rtl/>
        </w:rPr>
        <w:t xml:space="preserve">ייבין, ש. 1984. </w:t>
      </w:r>
      <w:r w:rsidRPr="00660B3B">
        <w:rPr>
          <w:color w:val="222222"/>
          <w:rtl/>
        </w:rPr>
        <w:t>הממלכה המפולגת: רחבעם-אחז/ירבעם-פקח. בתוך: אפעל, י. (עורך). ההיסטוריה של ארץ-ישראל. ישראל ויהודה בתקופת המקרא. ירושלים: 120-82.</w:t>
      </w:r>
    </w:p>
    <w:p w:rsidR="004C7A4F" w:rsidRDefault="004C7A4F" w:rsidP="004C7A4F">
      <w:pPr>
        <w:shd w:val="clear" w:color="auto" w:fill="FFFFFF"/>
        <w:spacing w:before="100" w:beforeAutospacing="1" w:after="100" w:afterAutospacing="1"/>
        <w:outlineLvl w:val="0"/>
        <w:rPr>
          <w:color w:val="222222"/>
          <w:rtl/>
        </w:rPr>
      </w:pPr>
      <w:r>
        <w:rPr>
          <w:rFonts w:hint="cs"/>
          <w:color w:val="222222"/>
          <w:rtl/>
        </w:rPr>
        <w:t>כוגן, מ.</w:t>
      </w:r>
      <w:r w:rsidRPr="00E06E2C">
        <w:rPr>
          <w:rtl/>
        </w:rPr>
        <w:t xml:space="preserve"> </w:t>
      </w:r>
      <w:r>
        <w:rPr>
          <w:rFonts w:hint="cs"/>
          <w:color w:val="222222"/>
          <w:rtl/>
        </w:rPr>
        <w:t>2003. "</w:t>
      </w:r>
      <w:r w:rsidRPr="00E06E2C">
        <w:rPr>
          <w:color w:val="222222"/>
          <w:rtl/>
        </w:rPr>
        <w:t>אסופת כתובות היסטוריות מאשור ובבל: מאות ט'-ו' לפסה"נ. מוסד ביאליק. ירושלים</w:t>
      </w:r>
      <w:r w:rsidRPr="00E06E2C">
        <w:rPr>
          <w:color w:val="222222"/>
        </w:rPr>
        <w:t>.</w:t>
      </w:r>
    </w:p>
    <w:p w:rsidR="004C7A4F" w:rsidRDefault="004C7A4F" w:rsidP="004C7A4F">
      <w:pPr>
        <w:shd w:val="clear" w:color="auto" w:fill="FFFFFF"/>
        <w:spacing w:before="100" w:beforeAutospacing="1" w:after="100" w:afterAutospacing="1"/>
        <w:ind w:left="651"/>
        <w:outlineLvl w:val="0"/>
        <w:rPr>
          <w:color w:val="222222"/>
          <w:rtl/>
        </w:rPr>
      </w:pPr>
      <w:r>
        <w:rPr>
          <w:rFonts w:hint="cs"/>
          <w:color w:val="222222"/>
          <w:rtl/>
        </w:rPr>
        <w:t xml:space="preserve"> 2017. </w:t>
      </w:r>
      <w:r w:rsidRPr="00593E25">
        <w:rPr>
          <w:color w:val="222222"/>
          <w:rtl/>
        </w:rPr>
        <w:t>השבת האימפריה לקדמותה: מסע המלחמה של סרגון ב' למערב בשנת 720/19 לפסה"נ</w:t>
      </w:r>
      <w:r>
        <w:rPr>
          <w:rFonts w:hint="cs"/>
          <w:color w:val="222222"/>
          <w:rtl/>
        </w:rPr>
        <w:t xml:space="preserve">. </w:t>
      </w:r>
      <w:r w:rsidRPr="00593E25">
        <w:rPr>
          <w:color w:val="222222"/>
          <w:rtl/>
        </w:rPr>
        <w:t>שנתון לחקר המקרא והמזרח הקדום, כה</w:t>
      </w:r>
      <w:r>
        <w:rPr>
          <w:rFonts w:hint="cs"/>
          <w:color w:val="222222"/>
          <w:rtl/>
        </w:rPr>
        <w:t xml:space="preserve">: </w:t>
      </w:r>
      <w:r w:rsidRPr="00593E25">
        <w:rPr>
          <w:color w:val="222222"/>
          <w:rtl/>
        </w:rPr>
        <w:t>עמ' 175-1</w:t>
      </w:r>
      <w:r>
        <w:rPr>
          <w:rFonts w:hint="cs"/>
          <w:color w:val="222222"/>
          <w:rtl/>
        </w:rPr>
        <w:t>.</w:t>
      </w:r>
    </w:p>
    <w:p w:rsidR="004C7A4F" w:rsidRDefault="004C7A4F" w:rsidP="004C7A4F">
      <w:pPr>
        <w:shd w:val="clear" w:color="auto" w:fill="FFFFFF"/>
        <w:spacing w:before="100" w:beforeAutospacing="1" w:after="100" w:afterAutospacing="1"/>
        <w:outlineLvl w:val="0"/>
        <w:rPr>
          <w:color w:val="222222"/>
          <w:rtl/>
        </w:rPr>
      </w:pPr>
      <w:r w:rsidRPr="00E06E2C">
        <w:rPr>
          <w:color w:val="222222"/>
          <w:rtl/>
        </w:rPr>
        <w:t>לוי, י., פיילשטוקר, מ., וגינצבורג, ע.</w:t>
      </w:r>
      <w:r>
        <w:rPr>
          <w:rFonts w:hint="cs"/>
          <w:color w:val="222222"/>
          <w:rtl/>
        </w:rPr>
        <w:t xml:space="preserve"> 2004. "</w:t>
      </w:r>
      <w:r w:rsidRPr="00E06E2C">
        <w:rPr>
          <w:color w:val="222222"/>
          <w:rtl/>
        </w:rPr>
        <w:t>מצודה מתקופת הברזל בחולות ראשון לציון". קדמוניות 122 : 92 -94.</w:t>
      </w:r>
    </w:p>
    <w:p w:rsidR="004C7A4F" w:rsidRDefault="004C7A4F" w:rsidP="004C7A4F">
      <w:pPr>
        <w:shd w:val="clear" w:color="auto" w:fill="FFFFFF"/>
        <w:spacing w:before="100" w:beforeAutospacing="1" w:after="100" w:afterAutospacing="1"/>
        <w:outlineLvl w:val="0"/>
        <w:rPr>
          <w:color w:val="222222"/>
          <w:rtl/>
        </w:rPr>
      </w:pPr>
      <w:r>
        <w:rPr>
          <w:rFonts w:hint="cs"/>
          <w:color w:val="222222"/>
          <w:rtl/>
        </w:rPr>
        <w:t xml:space="preserve">מזר, ע. 2003. </w:t>
      </w:r>
      <w:r w:rsidRPr="00593E25">
        <w:rPr>
          <w:color w:val="222222"/>
          <w:rtl/>
        </w:rPr>
        <w:t>חפירות תל רחוב ומשמעותן לחקר תקופת-הברזל בישראל</w:t>
      </w:r>
      <w:r>
        <w:rPr>
          <w:rFonts w:hint="cs"/>
          <w:color w:val="222222"/>
          <w:rtl/>
        </w:rPr>
        <w:t xml:space="preserve">. </w:t>
      </w:r>
      <w:r w:rsidRPr="00593E25">
        <w:rPr>
          <w:color w:val="222222"/>
          <w:rtl/>
        </w:rPr>
        <w:t>ארץ ישראל: מחקרים בידיעת הארץ ועתיקותיה</w:t>
      </w:r>
      <w:r>
        <w:rPr>
          <w:rFonts w:hint="cs"/>
          <w:color w:val="222222"/>
          <w:rtl/>
        </w:rPr>
        <w:t>.</w:t>
      </w:r>
      <w:r w:rsidRPr="00593E25">
        <w:rPr>
          <w:color w:val="222222"/>
          <w:rtl/>
        </w:rPr>
        <w:t xml:space="preserve"> 27: 143-160</w:t>
      </w:r>
      <w:r>
        <w:rPr>
          <w:rFonts w:hint="cs"/>
          <w:color w:val="222222"/>
          <w:rtl/>
        </w:rPr>
        <w:t>.</w:t>
      </w:r>
    </w:p>
    <w:p w:rsidR="004C7A4F" w:rsidRDefault="004C7A4F" w:rsidP="004C7A4F">
      <w:pPr>
        <w:spacing w:after="160" w:line="259" w:lineRule="auto"/>
        <w:rPr>
          <w:rFonts w:eastAsia="Calibri"/>
          <w:rtl/>
        </w:rPr>
      </w:pPr>
      <w:r w:rsidRPr="00660B3B">
        <w:rPr>
          <w:rFonts w:eastAsia="Calibri"/>
          <w:rtl/>
        </w:rPr>
        <w:t>נאמן</w:t>
      </w:r>
      <w:r w:rsidRPr="00660B3B">
        <w:rPr>
          <w:rFonts w:eastAsia="Calibri"/>
          <w:rtl/>
          <w:lang w:bidi="ar-SA"/>
        </w:rPr>
        <w:t xml:space="preserve">, </w:t>
      </w:r>
      <w:r w:rsidRPr="00660B3B">
        <w:rPr>
          <w:rFonts w:eastAsia="Calibri"/>
          <w:rtl/>
        </w:rPr>
        <w:t>נ</w:t>
      </w:r>
      <w:r w:rsidRPr="00660B3B">
        <w:rPr>
          <w:rFonts w:eastAsia="Calibri"/>
          <w:rtl/>
          <w:lang w:bidi="ar-SA"/>
        </w:rPr>
        <w:t>. 1994</w:t>
      </w:r>
      <w:r w:rsidRPr="00660B3B">
        <w:rPr>
          <w:rFonts w:eastAsia="Calibri" w:hint="cs"/>
          <w:rtl/>
        </w:rPr>
        <w:t>.</w:t>
      </w:r>
      <w:r>
        <w:rPr>
          <w:rFonts w:eastAsia="Calibri" w:hint="cs"/>
          <w:b/>
          <w:bCs/>
          <w:rtl/>
        </w:rPr>
        <w:t xml:space="preserve"> </w:t>
      </w:r>
      <w:r w:rsidRPr="00660B3B">
        <w:rPr>
          <w:rFonts w:eastAsia="Calibri"/>
          <w:b/>
          <w:bCs/>
          <w:rtl/>
          <w:lang w:bidi="ar-SA"/>
        </w:rPr>
        <w:t>"</w:t>
      </w:r>
      <w:r w:rsidRPr="00660B3B">
        <w:rPr>
          <w:rFonts w:eastAsia="Calibri"/>
          <w:rtl/>
        </w:rPr>
        <w:t>מדיניותם</w:t>
      </w:r>
      <w:r w:rsidRPr="00660B3B">
        <w:rPr>
          <w:rFonts w:eastAsia="Calibri"/>
          <w:rtl/>
          <w:lang w:bidi="ar-SA"/>
        </w:rPr>
        <w:t xml:space="preserve"> </w:t>
      </w:r>
      <w:r w:rsidRPr="00660B3B">
        <w:rPr>
          <w:rFonts w:eastAsia="Calibri"/>
          <w:rtl/>
        </w:rPr>
        <w:t>של</w:t>
      </w:r>
      <w:r w:rsidRPr="00660B3B">
        <w:rPr>
          <w:rFonts w:eastAsia="Calibri"/>
          <w:rtl/>
          <w:lang w:bidi="ar-SA"/>
        </w:rPr>
        <w:t xml:space="preserve"> </w:t>
      </w:r>
      <w:r w:rsidRPr="00660B3B">
        <w:rPr>
          <w:rFonts w:eastAsia="Calibri"/>
          <w:rtl/>
        </w:rPr>
        <w:t>אחז</w:t>
      </w:r>
      <w:r w:rsidRPr="00660B3B">
        <w:rPr>
          <w:rFonts w:eastAsia="Calibri"/>
          <w:rtl/>
          <w:lang w:bidi="ar-SA"/>
        </w:rPr>
        <w:t xml:space="preserve"> </w:t>
      </w:r>
      <w:r w:rsidRPr="00660B3B">
        <w:rPr>
          <w:rFonts w:eastAsia="Calibri"/>
          <w:rtl/>
        </w:rPr>
        <w:t>וחזקיהו</w:t>
      </w:r>
      <w:r w:rsidRPr="00660B3B">
        <w:rPr>
          <w:rFonts w:eastAsia="Calibri"/>
          <w:rtl/>
          <w:lang w:bidi="ar-SA"/>
        </w:rPr>
        <w:t xml:space="preserve"> </w:t>
      </w:r>
      <w:r w:rsidRPr="00660B3B">
        <w:rPr>
          <w:rFonts w:eastAsia="Calibri"/>
          <w:rtl/>
        </w:rPr>
        <w:t>כלפי</w:t>
      </w:r>
      <w:r w:rsidRPr="00660B3B">
        <w:rPr>
          <w:rFonts w:eastAsia="Calibri"/>
          <w:rtl/>
          <w:lang w:bidi="ar-SA"/>
        </w:rPr>
        <w:t xml:space="preserve"> </w:t>
      </w:r>
      <w:r w:rsidRPr="00660B3B">
        <w:rPr>
          <w:rFonts w:eastAsia="Calibri"/>
          <w:rtl/>
        </w:rPr>
        <w:t>אשור</w:t>
      </w:r>
      <w:r w:rsidRPr="00660B3B">
        <w:rPr>
          <w:rFonts w:eastAsia="Calibri"/>
          <w:rtl/>
          <w:lang w:bidi="ar-SA"/>
        </w:rPr>
        <w:t xml:space="preserve"> </w:t>
      </w:r>
      <w:r w:rsidRPr="00660B3B">
        <w:rPr>
          <w:rFonts w:eastAsia="Calibri"/>
          <w:rtl/>
        </w:rPr>
        <w:t>בימי</w:t>
      </w:r>
      <w:r w:rsidRPr="00660B3B">
        <w:rPr>
          <w:rFonts w:eastAsia="Calibri"/>
          <w:rtl/>
          <w:lang w:bidi="ar-SA"/>
        </w:rPr>
        <w:t xml:space="preserve"> </w:t>
      </w:r>
      <w:r w:rsidRPr="00660B3B">
        <w:rPr>
          <w:rFonts w:eastAsia="Calibri"/>
          <w:rtl/>
        </w:rPr>
        <w:t>סרגון</w:t>
      </w:r>
      <w:r w:rsidRPr="00660B3B">
        <w:rPr>
          <w:rFonts w:eastAsia="Calibri"/>
          <w:rtl/>
          <w:lang w:bidi="ar-SA"/>
        </w:rPr>
        <w:t xml:space="preserve"> </w:t>
      </w:r>
      <w:r w:rsidRPr="00660B3B">
        <w:rPr>
          <w:rFonts w:eastAsia="Calibri"/>
          <w:rtl/>
        </w:rPr>
        <w:t>ובראשית</w:t>
      </w:r>
      <w:r w:rsidRPr="00660B3B">
        <w:rPr>
          <w:rFonts w:eastAsia="Calibri"/>
          <w:rtl/>
          <w:lang w:bidi="ar-SA"/>
        </w:rPr>
        <w:t xml:space="preserve"> </w:t>
      </w:r>
      <w:r w:rsidRPr="00660B3B">
        <w:rPr>
          <w:rFonts w:eastAsia="Calibri"/>
          <w:rtl/>
        </w:rPr>
        <w:t>ימי</w:t>
      </w:r>
      <w:r w:rsidRPr="00660B3B">
        <w:rPr>
          <w:rFonts w:eastAsia="Calibri"/>
          <w:rtl/>
          <w:lang w:bidi="ar-SA"/>
        </w:rPr>
        <w:t xml:space="preserve"> </w:t>
      </w:r>
      <w:r w:rsidRPr="00660B3B">
        <w:rPr>
          <w:rFonts w:eastAsia="Calibri"/>
          <w:rtl/>
        </w:rPr>
        <w:t>סנחריב</w:t>
      </w:r>
      <w:r w:rsidRPr="00660B3B">
        <w:rPr>
          <w:rFonts w:eastAsia="Calibri"/>
          <w:rtl/>
          <w:lang w:bidi="ar-SA"/>
        </w:rPr>
        <w:t xml:space="preserve">". </w:t>
      </w:r>
      <w:r w:rsidRPr="00660B3B">
        <w:rPr>
          <w:rFonts w:eastAsia="Calibri"/>
          <w:i/>
          <w:iCs/>
          <w:rtl/>
        </w:rPr>
        <w:t>ציון</w:t>
      </w:r>
      <w:r w:rsidRPr="00660B3B">
        <w:rPr>
          <w:rFonts w:eastAsia="Calibri"/>
          <w:rtl/>
          <w:lang w:bidi="ar-SA"/>
        </w:rPr>
        <w:t xml:space="preserve"> </w:t>
      </w:r>
      <w:r w:rsidRPr="00660B3B">
        <w:rPr>
          <w:rFonts w:eastAsia="Calibri"/>
          <w:rtl/>
        </w:rPr>
        <w:t>נט:</w:t>
      </w:r>
      <w:r w:rsidRPr="00660B3B">
        <w:rPr>
          <w:rFonts w:eastAsia="Calibri"/>
          <w:rtl/>
          <w:lang w:bidi="ar-SA"/>
        </w:rPr>
        <w:t xml:space="preserve"> 5- 30</w:t>
      </w:r>
      <w:r w:rsidRPr="00660B3B">
        <w:rPr>
          <w:rFonts w:eastAsia="Calibri"/>
        </w:rPr>
        <w:t>.</w:t>
      </w:r>
    </w:p>
    <w:p w:rsidR="004C7A4F" w:rsidRPr="00593E25" w:rsidRDefault="004C7A4F" w:rsidP="004C7A4F">
      <w:pPr>
        <w:spacing w:after="160" w:line="259" w:lineRule="auto"/>
        <w:rPr>
          <w:rFonts w:eastAsia="Calibri"/>
          <w:rtl/>
        </w:rPr>
      </w:pPr>
      <w:r>
        <w:rPr>
          <w:rFonts w:eastAsia="Calibri"/>
          <w:rtl/>
        </w:rPr>
        <w:tab/>
      </w:r>
      <w:r>
        <w:rPr>
          <w:rFonts w:eastAsia="Calibri" w:hint="cs"/>
          <w:rtl/>
        </w:rPr>
        <w:t>2001. "</w:t>
      </w:r>
      <w:r w:rsidRPr="00593E25">
        <w:rPr>
          <w:rFonts w:eastAsia="Calibri"/>
          <w:rtl/>
        </w:rPr>
        <w:t>עיון היסטורי בספר מלכים לאור כתובות מלכים מן המאה התשיעית לפה"ס</w:t>
      </w:r>
      <w:r>
        <w:rPr>
          <w:rFonts w:eastAsia="Calibri" w:hint="cs"/>
          <w:rtl/>
        </w:rPr>
        <w:t>"</w:t>
      </w:r>
    </w:p>
    <w:p w:rsidR="004C7A4F" w:rsidRPr="00660B3B" w:rsidRDefault="004C7A4F" w:rsidP="004C7A4F">
      <w:pPr>
        <w:spacing w:after="160" w:line="259" w:lineRule="auto"/>
        <w:ind w:firstLine="651"/>
        <w:rPr>
          <w:rFonts w:eastAsia="Calibri"/>
          <w:rtl/>
        </w:rPr>
      </w:pPr>
      <w:r w:rsidRPr="00593E25">
        <w:rPr>
          <w:rFonts w:eastAsia="Calibri"/>
          <w:rtl/>
        </w:rPr>
        <w:t>קתדרה: לתולדות ארץ-ישראל וישובה 100: 90-108</w:t>
      </w:r>
    </w:p>
    <w:p w:rsidR="004C7A4F" w:rsidRDefault="004C7A4F" w:rsidP="004C7A4F">
      <w:pPr>
        <w:spacing w:after="160" w:line="259" w:lineRule="auto"/>
        <w:ind w:left="720" w:hanging="69"/>
        <w:rPr>
          <w:rFonts w:eastAsia="Calibri"/>
          <w:b/>
          <w:bCs/>
          <w:rtl/>
          <w:lang w:bidi="ar-SA"/>
        </w:rPr>
      </w:pPr>
      <w:r w:rsidRPr="00660B3B">
        <w:rPr>
          <w:rFonts w:eastAsia="Calibri"/>
          <w:rtl/>
        </w:rPr>
        <w:t>2006</w:t>
      </w:r>
      <w:r w:rsidRPr="00660B3B">
        <w:rPr>
          <w:rFonts w:eastAsia="Calibri" w:hint="cs"/>
          <w:rtl/>
        </w:rPr>
        <w:t>.</w:t>
      </w:r>
      <w:r>
        <w:rPr>
          <w:rFonts w:eastAsia="Calibri" w:hint="cs"/>
          <w:b/>
          <w:bCs/>
          <w:rtl/>
        </w:rPr>
        <w:t xml:space="preserve"> </w:t>
      </w:r>
      <w:r w:rsidRPr="00660B3B">
        <w:rPr>
          <w:rFonts w:eastAsia="Calibri"/>
          <w:b/>
          <w:bCs/>
          <w:rtl/>
        </w:rPr>
        <w:t xml:space="preserve"> </w:t>
      </w:r>
      <w:r w:rsidRPr="00660B3B">
        <w:rPr>
          <w:rFonts w:eastAsia="Calibri"/>
          <w:rtl/>
        </w:rPr>
        <w:t xml:space="preserve">"עלייתה של ירושלים למעמד העיר הראשה בממלכת יהודה במאות הח'-הז' לפני </w:t>
      </w:r>
      <w:r>
        <w:rPr>
          <w:rFonts w:eastAsia="Calibri" w:hint="cs"/>
          <w:rtl/>
        </w:rPr>
        <w:t xml:space="preserve">  </w:t>
      </w:r>
      <w:r w:rsidRPr="00660B3B">
        <w:rPr>
          <w:rFonts w:eastAsia="Calibri"/>
          <w:rtl/>
        </w:rPr>
        <w:t>סה"נ". ציון ע"א: 411-456.</w:t>
      </w:r>
    </w:p>
    <w:p w:rsidR="004C7A4F" w:rsidRPr="00660B3B" w:rsidRDefault="004C7A4F" w:rsidP="004C7A4F">
      <w:pPr>
        <w:spacing w:after="160" w:line="259" w:lineRule="auto"/>
        <w:ind w:left="720" w:hanging="69"/>
        <w:rPr>
          <w:rFonts w:eastAsia="Calibri"/>
          <w:b/>
          <w:bCs/>
          <w:rtl/>
          <w:lang w:bidi="ar-SA"/>
        </w:rPr>
      </w:pPr>
    </w:p>
    <w:p w:rsidR="004C7A4F" w:rsidRDefault="004C7A4F" w:rsidP="004C7A4F">
      <w:pPr>
        <w:rPr>
          <w:rtl/>
        </w:rPr>
      </w:pPr>
      <w:r>
        <w:rPr>
          <w:rFonts w:hint="cs"/>
          <w:rtl/>
        </w:rPr>
        <w:t>פאוסט, א. 1999. "</w:t>
      </w:r>
      <w:r w:rsidRPr="00386EBC">
        <w:rPr>
          <w:rtl/>
        </w:rPr>
        <w:t xml:space="preserve"> </w:t>
      </w:r>
      <w:r>
        <w:rPr>
          <w:rtl/>
        </w:rPr>
        <w:t>מכפרירים לממלכה: מבט מהכפר על ראשית המלוכה בישראל</w:t>
      </w:r>
      <w:r>
        <w:rPr>
          <w:rFonts w:hint="cs"/>
          <w:rtl/>
        </w:rPr>
        <w:t xml:space="preserve">" קתדרה 94: 7- 32. </w:t>
      </w:r>
    </w:p>
    <w:p w:rsidR="004C7A4F" w:rsidRDefault="004C7A4F" w:rsidP="004C7A4F">
      <w:pPr>
        <w:rPr>
          <w:rtl/>
        </w:rPr>
      </w:pPr>
    </w:p>
    <w:p w:rsidR="004C7A4F" w:rsidRDefault="004C7A4F" w:rsidP="004C7A4F">
      <w:pPr>
        <w:rPr>
          <w:rtl/>
        </w:rPr>
      </w:pPr>
      <w:r w:rsidRPr="00E06E2C">
        <w:rPr>
          <w:rtl/>
        </w:rPr>
        <w:t xml:space="preserve">קאהן, </w:t>
      </w:r>
      <w:r>
        <w:rPr>
          <w:rFonts w:hint="cs"/>
          <w:rtl/>
        </w:rPr>
        <w:t>ד.</w:t>
      </w:r>
      <w:r w:rsidRPr="00E06E2C">
        <w:t xml:space="preserve"> </w:t>
      </w:r>
      <w:r>
        <w:rPr>
          <w:rFonts w:hint="cs"/>
          <w:rtl/>
        </w:rPr>
        <w:t>2010. "</w:t>
      </w:r>
      <w:r w:rsidRPr="00E06E2C">
        <w:rPr>
          <w:rtl/>
        </w:rPr>
        <w:t>תפילת תרהקה איבוד השליטה המצרית בכנען וכיבו</w:t>
      </w:r>
      <w:r>
        <w:rPr>
          <w:rFonts w:hint="cs"/>
          <w:rtl/>
        </w:rPr>
        <w:t>ש</w:t>
      </w:r>
      <w:r w:rsidRPr="00E06E2C">
        <w:rPr>
          <w:rtl/>
        </w:rPr>
        <w:t xml:space="preserve"> מצרים בידי אשור". באר שבע יט: 223</w:t>
      </w:r>
      <w:r>
        <w:rPr>
          <w:rFonts w:hint="cs"/>
          <w:rtl/>
        </w:rPr>
        <w:t xml:space="preserve">- 249. </w:t>
      </w:r>
    </w:p>
    <w:p w:rsidR="004C7A4F" w:rsidRDefault="004C7A4F" w:rsidP="004C7A4F">
      <w:pPr>
        <w:rPr>
          <w:rtl/>
        </w:rPr>
      </w:pPr>
    </w:p>
    <w:p w:rsidR="004C7A4F" w:rsidRDefault="004C7A4F" w:rsidP="004C7A4F">
      <w:pPr>
        <w:rPr>
          <w:rtl/>
        </w:rPr>
      </w:pPr>
      <w:r>
        <w:rPr>
          <w:rtl/>
        </w:rPr>
        <w:t>קוגן-זהבי, א.</w:t>
      </w:r>
      <w:r w:rsidRPr="00BB6260">
        <w:rPr>
          <w:rtl/>
        </w:rPr>
        <w:t xml:space="preserve"> </w:t>
      </w:r>
      <w:r>
        <w:rPr>
          <w:rFonts w:hint="cs"/>
          <w:rtl/>
        </w:rPr>
        <w:t>"</w:t>
      </w:r>
      <w:r>
        <w:rPr>
          <w:rtl/>
        </w:rPr>
        <w:t>מבנה אשורי מצפון לתל אשדוד</w:t>
      </w:r>
      <w:r>
        <w:rPr>
          <w:rFonts w:hint="cs"/>
          <w:rtl/>
        </w:rPr>
        <w:t>".</w:t>
      </w:r>
      <w:r>
        <w:rPr>
          <w:rtl/>
        </w:rPr>
        <w:t>קדמוניות: רבעון לעתיקות ארץ-ישראל וארצות המקרא 38 (130): 87-90</w:t>
      </w:r>
      <w:r>
        <w:rPr>
          <w:rFonts w:hint="cs"/>
          <w:rtl/>
        </w:rPr>
        <w:t>.</w:t>
      </w:r>
    </w:p>
    <w:p w:rsidR="004C7A4F" w:rsidRDefault="004C7A4F" w:rsidP="004C7A4F">
      <w:pPr>
        <w:jc w:val="both"/>
        <w:rPr>
          <w:rtl/>
        </w:rPr>
      </w:pPr>
    </w:p>
    <w:p w:rsidR="004C7A4F" w:rsidRDefault="004C7A4F" w:rsidP="004C7A4F">
      <w:pPr>
        <w:rPr>
          <w:rtl/>
        </w:rPr>
      </w:pPr>
      <w:r>
        <w:rPr>
          <w:rFonts w:hint="cs"/>
          <w:rtl/>
        </w:rPr>
        <w:t xml:space="preserve">קוך, ע. 2012. </w:t>
      </w:r>
      <w:r>
        <w:rPr>
          <w:rtl/>
        </w:rPr>
        <w:t>המערך המדיני בשפלת יהודה בתקופת הברזל א–ב1 (1150–800 לפסה"נ</w:t>
      </w:r>
      <w:r w:rsidRPr="00593E25">
        <w:rPr>
          <w:i/>
          <w:iCs/>
          <w:rtl/>
        </w:rPr>
        <w:t>)</w:t>
      </w:r>
      <w:r>
        <w:rPr>
          <w:rFonts w:hint="cs"/>
          <w:i/>
          <w:iCs/>
          <w:rtl/>
        </w:rPr>
        <w:t xml:space="preserve">. </w:t>
      </w:r>
      <w:r>
        <w:rPr>
          <w:rtl/>
        </w:rPr>
        <w:t>קתדרה: לתולדות ארץ-ישראל וישובה143</w:t>
      </w:r>
      <w:r>
        <w:rPr>
          <w:rFonts w:hint="cs"/>
          <w:rtl/>
        </w:rPr>
        <w:t xml:space="preserve"> </w:t>
      </w:r>
    </w:p>
    <w:p w:rsidR="004C7A4F" w:rsidRDefault="004C7A4F" w:rsidP="004C7A4F">
      <w:pPr>
        <w:rPr>
          <w:rtl/>
        </w:rPr>
      </w:pPr>
    </w:p>
    <w:p w:rsidR="004C7A4F" w:rsidRPr="00AF0248" w:rsidRDefault="004C7A4F" w:rsidP="004C7A4F">
      <w:pPr>
        <w:rPr>
          <w:rFonts w:hint="cs"/>
          <w:rtl/>
        </w:rPr>
      </w:pPr>
      <w:r>
        <w:rPr>
          <w:rFonts w:hint="cs"/>
          <w:rtl/>
        </w:rPr>
        <w:t xml:space="preserve">רייך, ר. ושוקרון, א. 2011. מבט חדש על תאריך חציבתה של נקבת השילוח". מחקרי עיר דוד וירושלים הקדומה 6: 52- 69. </w:t>
      </w:r>
    </w:p>
    <w:p w:rsidR="004C7A4F" w:rsidRPr="00AF0248" w:rsidRDefault="004C7A4F" w:rsidP="004C7A4F">
      <w:pPr>
        <w:jc w:val="both"/>
        <w:rPr>
          <w:rFonts w:hint="cs"/>
          <w:rtl/>
        </w:rPr>
      </w:pPr>
    </w:p>
    <w:p w:rsidR="004C7A4F" w:rsidRDefault="004C7A4F" w:rsidP="004C7A4F">
      <w:pPr>
        <w:spacing w:after="160" w:line="259" w:lineRule="auto"/>
        <w:rPr>
          <w:rFonts w:eastAsia="Calibri"/>
          <w:rtl/>
        </w:rPr>
      </w:pPr>
      <w:r w:rsidRPr="00660B3B">
        <w:rPr>
          <w:rFonts w:eastAsia="Calibri"/>
          <w:rtl/>
        </w:rPr>
        <w:lastRenderedPageBreak/>
        <w:t>שטרן, א.</w:t>
      </w:r>
      <w:r w:rsidRPr="003472AD">
        <w:rPr>
          <w:rtl/>
        </w:rPr>
        <w:t xml:space="preserve"> </w:t>
      </w:r>
      <w:r>
        <w:rPr>
          <w:rFonts w:hint="cs"/>
          <w:rtl/>
        </w:rPr>
        <w:t>1999. "</w:t>
      </w:r>
      <w:r w:rsidRPr="003472AD">
        <w:rPr>
          <w:rFonts w:eastAsia="Calibri"/>
          <w:rtl/>
        </w:rPr>
        <w:t>רקע ארכיאולוגי לתולדות דרום פיניקיה וחוף השרון בתקופה האשורית". בתוך. כי ברוך הוא: מחקרים במזרח הקדמון, המקרא ומדעי היהדות לכבוד ברוך אברהם לוין. בעריכת האלו, וו. וו</w:t>
      </w:r>
      <w:r w:rsidRPr="003472AD">
        <w:rPr>
          <w:rFonts w:eastAsia="Calibri"/>
        </w:rPr>
        <w:t xml:space="preserve">. </w:t>
      </w:r>
      <w:r w:rsidRPr="003472AD">
        <w:rPr>
          <w:rFonts w:eastAsia="Calibri"/>
          <w:rtl/>
        </w:rPr>
        <w:t>חזן, ר. ושיפמן, י. אייזנבראונס. וינונה לייק. אינדיאנה. עמ' 1 -19</w:t>
      </w:r>
    </w:p>
    <w:p w:rsidR="004C7A4F" w:rsidRPr="00660B3B" w:rsidRDefault="004C7A4F" w:rsidP="004C7A4F">
      <w:pPr>
        <w:spacing w:after="160" w:line="259" w:lineRule="auto"/>
        <w:ind w:left="793"/>
        <w:rPr>
          <w:rFonts w:eastAsia="Calibri"/>
          <w:rtl/>
        </w:rPr>
      </w:pPr>
      <w:r w:rsidRPr="00660B3B">
        <w:rPr>
          <w:rFonts w:eastAsia="Calibri"/>
          <w:rtl/>
        </w:rPr>
        <w:t xml:space="preserve"> 2003</w:t>
      </w:r>
      <w:r w:rsidRPr="00660B3B">
        <w:rPr>
          <w:rFonts w:eastAsia="Calibri" w:hint="cs"/>
          <w:rtl/>
        </w:rPr>
        <w:t>.</w:t>
      </w:r>
      <w:r w:rsidRPr="00660B3B">
        <w:rPr>
          <w:rFonts w:eastAsia="Calibri"/>
          <w:rtl/>
        </w:rPr>
        <w:t xml:space="preserve"> </w:t>
      </w:r>
      <w:r w:rsidRPr="00660B3B">
        <w:rPr>
          <w:rFonts w:eastAsia="Calibri" w:hint="cs"/>
          <w:rtl/>
        </w:rPr>
        <w:t>"</w:t>
      </w:r>
      <w:r w:rsidRPr="00660B3B">
        <w:rPr>
          <w:rFonts w:eastAsia="Calibri"/>
          <w:rtl/>
        </w:rPr>
        <w:t>השפעת השלטון האשורי על התרבות החומרית של ארץ-ישראל</w:t>
      </w:r>
      <w:r>
        <w:rPr>
          <w:rFonts w:eastAsia="Calibri" w:hint="cs"/>
          <w:rtl/>
        </w:rPr>
        <w:t>"</w:t>
      </w:r>
      <w:r w:rsidRPr="00660B3B">
        <w:rPr>
          <w:rFonts w:eastAsia="Calibri"/>
          <w:rtl/>
        </w:rPr>
        <w:t xml:space="preserve">. </w:t>
      </w:r>
      <w:r w:rsidRPr="00660B3B">
        <w:rPr>
          <w:rFonts w:eastAsia="Calibri"/>
          <w:i/>
          <w:iCs/>
          <w:rtl/>
        </w:rPr>
        <w:t>ארץ-ישראל</w:t>
      </w:r>
      <w:r w:rsidRPr="00660B3B">
        <w:rPr>
          <w:rFonts w:eastAsia="Calibri"/>
          <w:rtl/>
        </w:rPr>
        <w:t xml:space="preserve"> כ"ז: 229-218.</w:t>
      </w:r>
    </w:p>
    <w:p w:rsidR="004C7A4F" w:rsidRDefault="004C7A4F" w:rsidP="004C7A4F">
      <w:pPr>
        <w:spacing w:after="160" w:line="259" w:lineRule="auto"/>
        <w:rPr>
          <w:rFonts w:eastAsia="Calibri"/>
          <w:rtl/>
        </w:rPr>
      </w:pPr>
      <w:r w:rsidRPr="00660B3B">
        <w:rPr>
          <w:rFonts w:eastAsia="Calibri"/>
          <w:rtl/>
        </w:rPr>
        <w:t>תדמור, ח.</w:t>
      </w:r>
      <w:r w:rsidRPr="003472AD">
        <w:t xml:space="preserve"> </w:t>
      </w:r>
      <w:r>
        <w:rPr>
          <w:rFonts w:eastAsia="Calibri" w:hint="cs"/>
          <w:rtl/>
        </w:rPr>
        <w:t xml:space="preserve"> 1967. "</w:t>
      </w:r>
      <w:r w:rsidRPr="003472AD">
        <w:rPr>
          <w:rFonts w:eastAsia="Calibri"/>
          <w:rtl/>
        </w:rPr>
        <w:t xml:space="preserve">קטעי אסטילה של סרגון מלך אשור מחפירות אשדוד". ארץ ישראל ח: </w:t>
      </w:r>
      <w:r>
        <w:rPr>
          <w:rFonts w:eastAsia="Calibri" w:hint="cs"/>
          <w:rtl/>
        </w:rPr>
        <w:t>240- 241.</w:t>
      </w:r>
    </w:p>
    <w:p w:rsidR="004C7A4F" w:rsidRPr="00660B3B" w:rsidRDefault="004C7A4F" w:rsidP="004C7A4F">
      <w:pPr>
        <w:spacing w:after="160" w:line="259" w:lineRule="auto"/>
        <w:ind w:left="935"/>
        <w:rPr>
          <w:rFonts w:eastAsia="Calibri"/>
          <w:rtl/>
        </w:rPr>
      </w:pPr>
      <w:r w:rsidRPr="00660B3B">
        <w:rPr>
          <w:rFonts w:eastAsia="Calibri"/>
          <w:rtl/>
        </w:rPr>
        <w:t>2006</w:t>
      </w:r>
      <w:r>
        <w:rPr>
          <w:rFonts w:eastAsia="Calibri" w:hint="cs"/>
          <w:b/>
          <w:bCs/>
          <w:rtl/>
        </w:rPr>
        <w:t>.</w:t>
      </w:r>
      <w:r w:rsidRPr="00660B3B">
        <w:rPr>
          <w:rFonts w:eastAsia="Calibri"/>
          <w:b/>
          <w:bCs/>
          <w:rtl/>
        </w:rPr>
        <w:t xml:space="preserve"> </w:t>
      </w:r>
      <w:r w:rsidRPr="00660B3B">
        <w:rPr>
          <w:rFonts w:eastAsia="Calibri"/>
          <w:rtl/>
        </w:rPr>
        <w:t>"אשור והמערב"</w:t>
      </w:r>
      <w:r w:rsidRPr="00660B3B">
        <w:rPr>
          <w:rFonts w:eastAsia="Calibri"/>
        </w:rPr>
        <w:t xml:space="preserve"> </w:t>
      </w:r>
      <w:r w:rsidRPr="00660B3B">
        <w:rPr>
          <w:rFonts w:eastAsia="Calibri"/>
          <w:rtl/>
        </w:rPr>
        <w:t xml:space="preserve"> (פרק שלוש עשרה). בתוך: </w:t>
      </w:r>
      <w:r w:rsidRPr="00660B3B">
        <w:rPr>
          <w:rFonts w:eastAsia="Calibri"/>
          <w:i/>
          <w:iCs/>
          <w:rtl/>
        </w:rPr>
        <w:t>אשור</w:t>
      </w:r>
      <w:r w:rsidRPr="00660B3B">
        <w:rPr>
          <w:rFonts w:eastAsia="Calibri"/>
          <w:i/>
          <w:iCs/>
          <w:rtl/>
          <w:lang w:bidi="ar-SA"/>
        </w:rPr>
        <w:t xml:space="preserve">, </w:t>
      </w:r>
      <w:r w:rsidRPr="00660B3B">
        <w:rPr>
          <w:rFonts w:eastAsia="Calibri"/>
          <w:i/>
          <w:iCs/>
          <w:rtl/>
        </w:rPr>
        <w:t xml:space="preserve">בבל ויהודה </w:t>
      </w:r>
      <w:r w:rsidRPr="00660B3B">
        <w:rPr>
          <w:rFonts w:eastAsia="Calibri"/>
          <w:i/>
          <w:iCs/>
          <w:rtl/>
          <w:lang w:bidi="ar-SA"/>
        </w:rPr>
        <w:t>: </w:t>
      </w:r>
      <w:r w:rsidRPr="00660B3B">
        <w:rPr>
          <w:rFonts w:eastAsia="Calibri"/>
          <w:i/>
          <w:iCs/>
          <w:rtl/>
        </w:rPr>
        <w:t>מחקרים בתולדות המזרח הקדום</w:t>
      </w:r>
      <w:r w:rsidRPr="00660B3B">
        <w:rPr>
          <w:rFonts w:eastAsia="Calibri"/>
          <w:rtl/>
        </w:rPr>
        <w:t xml:space="preserve">. מוסד ביאליק </w:t>
      </w:r>
      <w:r w:rsidRPr="00660B3B">
        <w:rPr>
          <w:rFonts w:eastAsia="Calibri"/>
          <w:rtl/>
          <w:lang w:bidi="ar-SA"/>
        </w:rPr>
        <w:t>: </w:t>
      </w:r>
      <w:r w:rsidRPr="00660B3B">
        <w:rPr>
          <w:rFonts w:eastAsia="Calibri"/>
          <w:rtl/>
        </w:rPr>
        <w:t>החברה לחקירת ארץ</w:t>
      </w:r>
      <w:r w:rsidRPr="00660B3B">
        <w:rPr>
          <w:rFonts w:eastAsia="Calibri"/>
          <w:rtl/>
          <w:lang w:bidi="ar-SA"/>
        </w:rPr>
        <w:t>-</w:t>
      </w:r>
      <w:r w:rsidRPr="00660B3B">
        <w:rPr>
          <w:rFonts w:eastAsia="Calibri"/>
          <w:rtl/>
        </w:rPr>
        <w:t>ישראל ועתיקותיה. ירושלים. עמ' 217-229.</w:t>
      </w:r>
    </w:p>
    <w:p w:rsidR="004C7A4F" w:rsidRDefault="004C7A4F" w:rsidP="004C7A4F">
      <w:pPr>
        <w:spacing w:after="160" w:line="259" w:lineRule="auto"/>
        <w:ind w:left="935"/>
        <w:jc w:val="both"/>
        <w:rPr>
          <w:rFonts w:eastAsia="Calibri"/>
        </w:rPr>
      </w:pPr>
      <w:r w:rsidRPr="00660B3B">
        <w:rPr>
          <w:rFonts w:eastAsia="Calibri"/>
          <w:rtl/>
        </w:rPr>
        <w:t xml:space="preserve">2006 </w:t>
      </w:r>
      <w:r w:rsidRPr="00660B3B">
        <w:rPr>
          <w:rFonts w:eastAsia="Calibri" w:hint="cs"/>
          <w:rtl/>
        </w:rPr>
        <w:t>א'.</w:t>
      </w:r>
      <w:r w:rsidRPr="00660B3B">
        <w:rPr>
          <w:rFonts w:eastAsia="Calibri"/>
          <w:b/>
          <w:bCs/>
          <w:rtl/>
        </w:rPr>
        <w:t xml:space="preserve"> </w:t>
      </w:r>
      <w:r w:rsidRPr="00660B3B">
        <w:rPr>
          <w:rFonts w:eastAsia="Calibri"/>
          <w:rtl/>
        </w:rPr>
        <w:t xml:space="preserve">"מסעות המלחמה האשורים לפלשת" (פרק ארבע עשרה).  </w:t>
      </w:r>
      <w:r w:rsidRPr="00660B3B">
        <w:rPr>
          <w:rFonts w:eastAsia="Calibri"/>
          <w:i/>
          <w:iCs/>
          <w:rtl/>
        </w:rPr>
        <w:t>בתוך: אשור</w:t>
      </w:r>
      <w:r w:rsidRPr="00660B3B">
        <w:rPr>
          <w:rFonts w:eastAsia="Calibri"/>
          <w:i/>
          <w:iCs/>
          <w:rtl/>
          <w:lang w:bidi="ar-SA"/>
        </w:rPr>
        <w:t xml:space="preserve">, </w:t>
      </w:r>
      <w:r w:rsidRPr="00660B3B">
        <w:rPr>
          <w:rFonts w:eastAsia="Calibri"/>
          <w:i/>
          <w:iCs/>
          <w:rtl/>
        </w:rPr>
        <w:t xml:space="preserve">בבל ויהודה </w:t>
      </w:r>
      <w:r w:rsidRPr="00660B3B">
        <w:rPr>
          <w:rFonts w:eastAsia="Calibri"/>
          <w:i/>
          <w:iCs/>
          <w:rtl/>
          <w:lang w:bidi="ar-SA"/>
        </w:rPr>
        <w:t>: </w:t>
      </w:r>
      <w:r w:rsidRPr="00660B3B">
        <w:rPr>
          <w:rFonts w:eastAsia="Calibri"/>
          <w:i/>
          <w:iCs/>
          <w:rtl/>
        </w:rPr>
        <w:t>מחקרים בתולדות המזרח הקדום</w:t>
      </w:r>
      <w:r w:rsidRPr="00660B3B">
        <w:rPr>
          <w:rFonts w:eastAsia="Calibri"/>
          <w:rtl/>
        </w:rPr>
        <w:t xml:space="preserve">. מוסד ביאליק </w:t>
      </w:r>
      <w:r w:rsidRPr="00660B3B">
        <w:rPr>
          <w:rFonts w:eastAsia="Calibri"/>
          <w:rtl/>
          <w:lang w:bidi="ar-SA"/>
        </w:rPr>
        <w:t>: </w:t>
      </w:r>
      <w:r w:rsidRPr="00660B3B">
        <w:rPr>
          <w:rFonts w:eastAsia="Calibri"/>
          <w:rtl/>
        </w:rPr>
        <w:t>החברה לחקירת ארץ</w:t>
      </w:r>
      <w:r w:rsidRPr="00660B3B">
        <w:rPr>
          <w:rFonts w:eastAsia="Calibri"/>
          <w:rtl/>
          <w:lang w:bidi="ar-SA"/>
        </w:rPr>
        <w:t>-</w:t>
      </w:r>
      <w:r w:rsidRPr="00660B3B">
        <w:rPr>
          <w:rFonts w:eastAsia="Calibri"/>
          <w:rtl/>
        </w:rPr>
        <w:t>ישראל ועתיקותיה. ירושלים. עמ' 229- 255</w:t>
      </w:r>
      <w:r>
        <w:rPr>
          <w:rFonts w:eastAsia="Calibri" w:hint="cs"/>
          <w:rtl/>
        </w:rPr>
        <w:t>.</w:t>
      </w:r>
    </w:p>
    <w:p w:rsidR="004C7A4F" w:rsidRDefault="004C7A4F" w:rsidP="004C7A4F">
      <w:pPr>
        <w:spacing w:after="160" w:line="259" w:lineRule="auto"/>
        <w:ind w:left="793"/>
        <w:jc w:val="both"/>
        <w:rPr>
          <w:rFonts w:eastAsia="Calibri"/>
          <w:b/>
          <w:bCs/>
        </w:rPr>
      </w:pPr>
    </w:p>
    <w:p w:rsidR="004C7A4F" w:rsidRDefault="004C7A4F" w:rsidP="004C7A4F">
      <w:pPr>
        <w:bidi w:val="0"/>
        <w:spacing w:after="160" w:line="259" w:lineRule="auto"/>
      </w:pPr>
      <w:r w:rsidRPr="003472AD">
        <w:t>Berlejung, A. 2014</w:t>
      </w:r>
      <w:r>
        <w:t>.</w:t>
      </w:r>
      <w:r w:rsidRPr="003472AD">
        <w:t xml:space="preserve"> "Outlook: Arameans Outside of Syria: Palestine". In Niehr, H. (ed.). The Aramaeans in Ancient Syria. Brill. Pp. 339-365.</w:t>
      </w:r>
    </w:p>
    <w:p w:rsidR="004C7A4F" w:rsidRDefault="004C7A4F" w:rsidP="004C7A4F">
      <w:pPr>
        <w:bidi w:val="0"/>
        <w:spacing w:after="160" w:line="259" w:lineRule="auto"/>
      </w:pPr>
      <w:r w:rsidRPr="003472AD">
        <w:t>Lipinski, E. 2013</w:t>
      </w:r>
      <w:r>
        <w:t xml:space="preserve">. </w:t>
      </w:r>
      <w:r w:rsidRPr="003472AD">
        <w:t>"The Arameans in the West (13th -8 th Centuries)". In Berlejung, A. and Streck, P. M. (eds.). Arameans, Chaldeans, and Arabs in Babylonia and Palestine in the First Millennium B.C.. Leipziger Altorientalistische Studien 3:123-148.</w:t>
      </w:r>
    </w:p>
    <w:p w:rsidR="004C7A4F" w:rsidRDefault="004C7A4F" w:rsidP="004C7A4F">
      <w:pPr>
        <w:bidi w:val="0"/>
        <w:spacing w:after="160" w:line="259" w:lineRule="auto"/>
        <w:rPr>
          <w:rtl/>
        </w:rPr>
      </w:pPr>
      <w:r w:rsidRPr="00D77B34">
        <w:t>Lipschits, O., Sergi, O., and Koch, I. 2010</w:t>
      </w:r>
      <w:r>
        <w:t>.</w:t>
      </w:r>
      <w:r w:rsidRPr="00D77B34">
        <w:t xml:space="preserve">  "Royal Judahite Jar Handles: Reconsidering the Chronology of the lmlk Stamp Impressions". Tel-Aviv 37:3-32.</w:t>
      </w:r>
    </w:p>
    <w:p w:rsidR="004C7A4F" w:rsidRDefault="004C7A4F" w:rsidP="004C7A4F">
      <w:pPr>
        <w:bidi w:val="0"/>
        <w:spacing w:after="160" w:line="259" w:lineRule="auto"/>
        <w:rPr>
          <w:rtl/>
        </w:rPr>
      </w:pPr>
      <w:r>
        <w:rPr>
          <w:rFonts w:hint="cs"/>
        </w:rPr>
        <w:t>N</w:t>
      </w:r>
      <w:r>
        <w:rPr>
          <w:lang w:val="en-GB"/>
        </w:rPr>
        <w:t xml:space="preserve">a’aman. N. </w:t>
      </w:r>
      <w:r w:rsidRPr="00D77B34">
        <w:t>2009</w:t>
      </w:r>
      <w:r>
        <w:t>.</w:t>
      </w:r>
      <w:r w:rsidRPr="00D77B34">
        <w:t xml:space="preserve"> "The Growth and Development of Judah and Jerusalem in the Eight Century BCE: A Rejoinder". Revue Biblique 116(3):312-335.</w:t>
      </w:r>
    </w:p>
    <w:p w:rsidR="004C7A4F" w:rsidRDefault="004C7A4F" w:rsidP="004C7A4F">
      <w:pPr>
        <w:bidi w:val="0"/>
        <w:spacing w:after="160" w:line="259" w:lineRule="auto"/>
      </w:pPr>
      <w:r w:rsidRPr="00F51A71">
        <w:t xml:space="preserve">Schniedewind, W. M. </w:t>
      </w:r>
      <w:r>
        <w:rPr>
          <w:rFonts w:hint="cs"/>
          <w:rtl/>
        </w:rPr>
        <w:t>1996</w:t>
      </w:r>
      <w:r>
        <w:t xml:space="preserve">. </w:t>
      </w:r>
      <w:r w:rsidRPr="00F51A71">
        <w:t>"Tel Dan Stela: New Light on Aramaic and Jehu's Revolt". Bulletin of the American Schools of Oriental Research 302: 75-90.</w:t>
      </w:r>
    </w:p>
    <w:p w:rsidR="004C7A4F" w:rsidRPr="00660B3B" w:rsidRDefault="004C7A4F" w:rsidP="004C7A4F">
      <w:pPr>
        <w:bidi w:val="0"/>
        <w:spacing w:after="160" w:line="259" w:lineRule="auto"/>
        <w:rPr>
          <w:rFonts w:eastAsia="Calibri"/>
          <w:b/>
          <w:bCs/>
          <w:rtl/>
        </w:rPr>
      </w:pPr>
      <w:r>
        <w:t>Younger, K. L., Jr., 2003. "Assyrian Involvement in the Southern Levant at the End of the Eighth Century B.C.E.". In A. Vaughn and A. Killebrew (eds.), Jerusalem in Bible and Archaeology: The First Temple Period. Society of Biblical Literature, Symposium Series 18. Atlanta: Society of Biblical Literature. Pp. 235-263</w:t>
      </w:r>
    </w:p>
    <w:p w:rsidR="004C7A4F" w:rsidRPr="00660B3B" w:rsidRDefault="004C7A4F" w:rsidP="004C7A4F">
      <w:pPr>
        <w:spacing w:after="160" w:line="259" w:lineRule="auto"/>
        <w:rPr>
          <w:rFonts w:eastAsia="Calibri"/>
        </w:rPr>
      </w:pPr>
      <w:r w:rsidRPr="00660B3B">
        <w:rPr>
          <w:rFonts w:eastAsia="Calibri"/>
          <w:u w:val="single"/>
          <w:rtl/>
        </w:rPr>
        <w:t>קשר עם המרצה</w:t>
      </w:r>
      <w:r w:rsidRPr="00660B3B">
        <w:rPr>
          <w:rFonts w:eastAsia="Calibri"/>
          <w:rtl/>
        </w:rPr>
        <w:t xml:space="preserve">: </w:t>
      </w:r>
    </w:p>
    <w:p w:rsidR="004C7A4F" w:rsidRPr="00660B3B" w:rsidRDefault="004C7A4F" w:rsidP="004C7A4F">
      <w:pPr>
        <w:spacing w:after="160" w:line="259" w:lineRule="auto"/>
        <w:rPr>
          <w:rFonts w:eastAsia="Calibri"/>
          <w:rtl/>
        </w:rPr>
      </w:pPr>
      <w:r w:rsidRPr="00660B3B">
        <w:rPr>
          <w:rFonts w:eastAsia="Calibri"/>
          <w:rtl/>
        </w:rPr>
        <w:t xml:space="preserve">דואר אלקטרוני: </w:t>
      </w:r>
      <w:r w:rsidRPr="00660B3B">
        <w:rPr>
          <w:rFonts w:eastAsia="Calibri"/>
        </w:rPr>
        <w:t>123dagam@gmail.com</w:t>
      </w:r>
      <w:hyperlink r:id="rId5" w:history="1"/>
    </w:p>
    <w:p w:rsidR="004C7A4F" w:rsidRPr="00660B3B" w:rsidRDefault="004C7A4F" w:rsidP="004C7A4F">
      <w:pPr>
        <w:spacing w:after="160" w:line="259" w:lineRule="auto"/>
        <w:rPr>
          <w:rFonts w:eastAsia="Calibri"/>
          <w:rtl/>
        </w:rPr>
      </w:pPr>
    </w:p>
    <w:p w:rsidR="004C7A4F" w:rsidRPr="00660B3B" w:rsidRDefault="004C7A4F" w:rsidP="004C7A4F">
      <w:pPr>
        <w:spacing w:after="160" w:line="259" w:lineRule="auto"/>
        <w:rPr>
          <w:rFonts w:eastAsia="Calibri"/>
          <w:rtl/>
        </w:rPr>
      </w:pPr>
    </w:p>
    <w:p w:rsidR="004C7A4F" w:rsidRPr="00660B3B" w:rsidRDefault="004C7A4F" w:rsidP="004C7A4F">
      <w:pPr>
        <w:spacing w:after="160" w:line="259" w:lineRule="auto"/>
        <w:rPr>
          <w:rFonts w:eastAsia="Calibri"/>
          <w:rtl/>
        </w:rPr>
      </w:pPr>
    </w:p>
    <w:p w:rsidR="004C7A4F" w:rsidRPr="001A5BB1" w:rsidRDefault="004C7A4F" w:rsidP="004C7A4F">
      <w:pPr>
        <w:shd w:val="clear" w:color="auto" w:fill="FFFFFF"/>
        <w:bidi w:val="0"/>
      </w:pPr>
    </w:p>
    <w:p w:rsidR="004C7A4F" w:rsidRPr="001A5BB1" w:rsidRDefault="004C7A4F" w:rsidP="004C7A4F">
      <w:pPr>
        <w:rPr>
          <w:rtl/>
        </w:rPr>
      </w:pPr>
    </w:p>
    <w:p w:rsidR="00654E9F" w:rsidRDefault="00654E9F">
      <w:bookmarkStart w:id="0" w:name="_GoBack"/>
      <w:bookmarkEnd w:id="0"/>
    </w:p>
    <w:sectPr w:rsidR="00654E9F" w:rsidSect="00DD686B">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4C7A4F" w:rsidP="00DD686B">
    <w:pPr>
      <w:pStyle w:val="a6"/>
      <w:jc w:val="right"/>
    </w:pPr>
    <w:r>
      <w:rPr>
        <w:rStyle w:val="a5"/>
      </w:rPr>
      <w:fldChar w:fldCharType="begin"/>
    </w:r>
    <w:r>
      <w:rPr>
        <w:rStyle w:val="a5"/>
      </w:rPr>
      <w:instrText xml:space="preserve"> PAGE </w:instrText>
    </w:r>
    <w:r>
      <w:rPr>
        <w:rStyle w:val="a5"/>
      </w:rPr>
      <w:fldChar w:fldCharType="separate"/>
    </w:r>
    <w:r>
      <w:rPr>
        <w:rStyle w:val="a5"/>
        <w:noProof/>
        <w:rtl/>
      </w:rPr>
      <w:t>1</w:t>
    </w:r>
    <w:r>
      <w:rPr>
        <w:rStyle w:val="a5"/>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4C7A4F" w:rsidP="00DD686B">
    <w:pPr>
      <w:pStyle w:val="a3"/>
      <w:jc w:val="center"/>
      <w:rPr>
        <w:color w:val="333333"/>
        <w:rtl/>
      </w:rPr>
    </w:pPr>
  </w:p>
  <w:p w:rsidR="009263FA" w:rsidRPr="006F3984" w:rsidRDefault="004C7A4F" w:rsidP="00DD68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56"/>
    <w:multiLevelType w:val="hybridMultilevel"/>
    <w:tmpl w:val="EEF85742"/>
    <w:lvl w:ilvl="0" w:tplc="2230F22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4F"/>
    <w:rsid w:val="00475603"/>
    <w:rsid w:val="004C7A4F"/>
    <w:rsid w:val="00654E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C2A38-7261-49C5-978D-C77A296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A4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7A4F"/>
    <w:pPr>
      <w:tabs>
        <w:tab w:val="center" w:pos="4153"/>
        <w:tab w:val="right" w:pos="8306"/>
      </w:tabs>
    </w:pPr>
  </w:style>
  <w:style w:type="character" w:customStyle="1" w:styleId="a4">
    <w:name w:val="כותרת עליונה תו"/>
    <w:basedOn w:val="a0"/>
    <w:link w:val="a3"/>
    <w:uiPriority w:val="99"/>
    <w:rsid w:val="004C7A4F"/>
    <w:rPr>
      <w:rFonts w:ascii="Times New Roman" w:eastAsia="Times New Roman" w:hAnsi="Times New Roman" w:cs="Times New Roman"/>
      <w:sz w:val="24"/>
      <w:szCs w:val="24"/>
    </w:rPr>
  </w:style>
  <w:style w:type="character" w:styleId="a5">
    <w:name w:val="page number"/>
    <w:uiPriority w:val="99"/>
    <w:rsid w:val="004C7A4F"/>
    <w:rPr>
      <w:rFonts w:cs="Times New Roman"/>
    </w:rPr>
  </w:style>
  <w:style w:type="paragraph" w:styleId="a6">
    <w:name w:val="footer"/>
    <w:basedOn w:val="a"/>
    <w:link w:val="a7"/>
    <w:uiPriority w:val="99"/>
    <w:rsid w:val="004C7A4F"/>
    <w:pPr>
      <w:tabs>
        <w:tab w:val="center" w:pos="4153"/>
        <w:tab w:val="right" w:pos="8306"/>
      </w:tabs>
    </w:pPr>
  </w:style>
  <w:style w:type="character" w:customStyle="1" w:styleId="a7">
    <w:name w:val="כותרת תחתונה תו"/>
    <w:basedOn w:val="a0"/>
    <w:link w:val="a6"/>
    <w:uiPriority w:val="99"/>
    <w:rsid w:val="004C7A4F"/>
    <w:rPr>
      <w:rFonts w:ascii="Times New Roman" w:eastAsia="Times New Roman" w:hAnsi="Times New Roman" w:cs="Times New Roman"/>
      <w:sz w:val="24"/>
      <w:szCs w:val="24"/>
    </w:rPr>
  </w:style>
  <w:style w:type="paragraph" w:styleId="NormalWeb">
    <w:name w:val="Normal (Web)"/>
    <w:basedOn w:val="a"/>
    <w:uiPriority w:val="99"/>
    <w:unhideWhenUsed/>
    <w:rsid w:val="004C7A4F"/>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tyifat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6776</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dc:creator>
  <cp:keywords/>
  <dc:description/>
  <cp:lastModifiedBy>יעל</cp:lastModifiedBy>
  <cp:revision>1</cp:revision>
  <dcterms:created xsi:type="dcterms:W3CDTF">2018-07-10T17:18:00Z</dcterms:created>
  <dcterms:modified xsi:type="dcterms:W3CDTF">2018-07-10T17:20:00Z</dcterms:modified>
</cp:coreProperties>
</file>