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E0D" w:rsidRDefault="00F72D7A" w:rsidP="00E45E0D">
      <w:pPr>
        <w:spacing w:line="360" w:lineRule="auto"/>
        <w:ind w:left="-334"/>
        <w:jc w:val="center"/>
        <w:rPr>
          <w:rFonts w:ascii="Arial" w:hAnsi="Arial" w:cs="Tahoma"/>
          <w:bCs/>
          <w:rtl/>
        </w:rPr>
      </w:pPr>
      <w:r>
        <w:rPr>
          <w:rFonts w:ascii="Arial" w:hAnsi="Arial" w:cs="Tahoma"/>
          <w:bCs/>
          <w:noProof/>
          <w:lang w:eastAsia="en-US"/>
        </w:rPr>
        <w:drawing>
          <wp:inline distT="0" distB="0" distL="0" distR="0">
            <wp:extent cx="838200" cy="647700"/>
            <wp:effectExtent l="1905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E0D" w:rsidRDefault="00E45E0D" w:rsidP="00E45E0D">
      <w:pPr>
        <w:spacing w:line="360" w:lineRule="auto"/>
        <w:ind w:left="-334"/>
        <w:rPr>
          <w:rFonts w:ascii="Arial" w:hAnsi="Arial" w:cs="Tahoma"/>
          <w:bCs/>
          <w:rtl/>
        </w:rPr>
      </w:pPr>
    </w:p>
    <w:p w:rsidR="00E45E0D" w:rsidRDefault="00E45E0D" w:rsidP="00E72131">
      <w:pPr>
        <w:spacing w:line="360" w:lineRule="auto"/>
        <w:ind w:left="-334"/>
        <w:jc w:val="center"/>
        <w:rPr>
          <w:rFonts w:ascii="Arial" w:hAnsi="Arial" w:cs="Tahoma"/>
          <w:bCs/>
          <w:sz w:val="36"/>
          <w:szCs w:val="36"/>
          <w:rtl/>
        </w:rPr>
      </w:pPr>
      <w:r w:rsidRPr="006B2106">
        <w:rPr>
          <w:rFonts w:ascii="Arial" w:hAnsi="Arial" w:cs="Tahoma" w:hint="cs"/>
          <w:bCs/>
          <w:rtl/>
        </w:rPr>
        <w:t>אוניברסיטת בר-אילן</w:t>
      </w:r>
    </w:p>
    <w:p w:rsidR="00E45E0D" w:rsidRDefault="00E45E0D" w:rsidP="00E45E0D">
      <w:pPr>
        <w:spacing w:line="360" w:lineRule="auto"/>
        <w:jc w:val="center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שימור ותיירות בירושלים החדשה</w:t>
      </w:r>
    </w:p>
    <w:p w:rsidR="00E45E0D" w:rsidRPr="00E323D1" w:rsidRDefault="00E45E0D" w:rsidP="00E45E0D">
      <w:pPr>
        <w:spacing w:line="360" w:lineRule="auto"/>
        <w:jc w:val="center"/>
        <w:rPr>
          <w:rFonts w:ascii="Arial" w:hAnsi="Arial" w:cs="Arial"/>
          <w:b/>
          <w:bCs/>
          <w:rtl/>
        </w:rPr>
      </w:pPr>
      <w:r w:rsidRPr="00E323D1">
        <w:rPr>
          <w:rFonts w:ascii="Arial" w:hAnsi="Arial" w:cs="Arial" w:hint="cs"/>
          <w:b/>
          <w:bCs/>
          <w:rtl/>
        </w:rPr>
        <w:t>ד"ר קובי כהן-הטב</w:t>
      </w:r>
    </w:p>
    <w:p w:rsidR="00E45E0D" w:rsidRPr="00DB79DF" w:rsidRDefault="00E45E0D" w:rsidP="00E45E0D">
      <w:pPr>
        <w:spacing w:line="360" w:lineRule="auto"/>
        <w:jc w:val="center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01</w:t>
      </w:r>
      <w:r>
        <w:rPr>
          <w:rFonts w:ascii="Arial" w:hAnsi="Arial" w:cs="Arial"/>
        </w:rPr>
        <w:t>048-</w:t>
      </w:r>
      <w:r w:rsidRPr="00A273EB">
        <w:rPr>
          <w:rFonts w:ascii="Arial" w:hAnsi="Arial" w:cs="Arial" w:hint="cs"/>
          <w:rtl/>
        </w:rPr>
        <w:t>-</w:t>
      </w:r>
      <w:r>
        <w:rPr>
          <w:rFonts w:ascii="Arial" w:hAnsi="Arial" w:cs="Arial" w:hint="cs"/>
          <w:rtl/>
        </w:rPr>
        <w:t>16</w:t>
      </w:r>
      <w:r>
        <w:rPr>
          <w:rFonts w:ascii="Arial" w:hAnsi="Arial" w:cs="Tahoma"/>
          <w:bCs/>
          <w:sz w:val="36"/>
          <w:szCs w:val="36"/>
          <w:rtl/>
        </w:rPr>
        <w:t xml:space="preserve"> </w:t>
      </w:r>
    </w:p>
    <w:p w:rsidR="00E45E0D" w:rsidRPr="002E026B" w:rsidRDefault="00E45E0D" w:rsidP="00E45E0D">
      <w:pPr>
        <w:spacing w:line="360" w:lineRule="auto"/>
        <w:jc w:val="center"/>
        <w:rPr>
          <w:rFonts w:ascii="Arial" w:hAnsi="Arial" w:cs="Arial"/>
          <w:rtl/>
        </w:rPr>
      </w:pPr>
      <w:r w:rsidRPr="002E026B">
        <w:rPr>
          <w:rFonts w:ascii="Arial" w:hAnsi="Arial" w:cs="Arial"/>
          <w:b/>
          <w:bCs/>
          <w:rtl/>
        </w:rPr>
        <w:t>סוג הקורס:</w:t>
      </w:r>
      <w:r w:rsidRPr="002E026B">
        <w:rPr>
          <w:rFonts w:ascii="Arial" w:hAnsi="Arial" w:cs="Arial"/>
          <w:rtl/>
        </w:rPr>
        <w:t xml:space="preserve"> שיעור</w:t>
      </w:r>
    </w:p>
    <w:p w:rsidR="00E45E0D" w:rsidRPr="002E026B" w:rsidRDefault="00E45E0D" w:rsidP="00E72131">
      <w:pPr>
        <w:spacing w:line="360" w:lineRule="auto"/>
        <w:rPr>
          <w:rFonts w:ascii="Arial" w:hAnsi="Arial" w:cs="Arial"/>
          <w:rtl/>
        </w:rPr>
      </w:pPr>
      <w:r w:rsidRPr="002E026B">
        <w:rPr>
          <w:rFonts w:ascii="Arial" w:hAnsi="Arial" w:cs="Arial"/>
          <w:b/>
          <w:bCs/>
          <w:rtl/>
        </w:rPr>
        <w:t>שנת לימודים</w:t>
      </w:r>
      <w:r w:rsidRPr="002E026B">
        <w:rPr>
          <w:rFonts w:ascii="Arial" w:hAnsi="Arial" w:cs="Arial"/>
          <w:rtl/>
        </w:rPr>
        <w:t xml:space="preserve">: </w:t>
      </w:r>
      <w:r>
        <w:rPr>
          <w:rFonts w:ascii="Arial" w:hAnsi="Arial" w:cs="Arial"/>
          <w:rtl/>
        </w:rPr>
        <w:t xml:space="preserve">  </w:t>
      </w:r>
      <w:r>
        <w:rPr>
          <w:rFonts w:ascii="Arial" w:hAnsi="Arial" w:cs="Arial" w:hint="cs"/>
          <w:rtl/>
        </w:rPr>
        <w:t>תשע"ג</w:t>
      </w:r>
      <w:r>
        <w:rPr>
          <w:rFonts w:ascii="Arial" w:hAnsi="Arial" w:cs="Arial"/>
          <w:rtl/>
        </w:rPr>
        <w:t xml:space="preserve">             </w:t>
      </w:r>
      <w:r w:rsidRPr="002E026B">
        <w:rPr>
          <w:rFonts w:ascii="Arial" w:hAnsi="Arial" w:cs="Arial"/>
          <w:rtl/>
        </w:rPr>
        <w:t xml:space="preserve">      </w:t>
      </w:r>
      <w:r w:rsidRPr="002E026B">
        <w:rPr>
          <w:rFonts w:ascii="Arial" w:hAnsi="Arial" w:cs="Arial"/>
          <w:b/>
          <w:bCs/>
          <w:rtl/>
        </w:rPr>
        <w:t>סמסטר</w:t>
      </w:r>
      <w:r w:rsidRPr="002E026B">
        <w:rPr>
          <w:rFonts w:ascii="Arial" w:hAnsi="Arial" w:cs="Arial"/>
          <w:rtl/>
        </w:rPr>
        <w:t xml:space="preserve">: </w:t>
      </w:r>
      <w:r>
        <w:rPr>
          <w:rFonts w:ascii="Arial" w:hAnsi="Arial" w:cs="Arial"/>
          <w:rtl/>
        </w:rPr>
        <w:t xml:space="preserve"> </w:t>
      </w:r>
      <w:r w:rsidR="00E72131">
        <w:rPr>
          <w:rFonts w:ascii="Arial" w:hAnsi="Arial" w:cs="Arial" w:hint="cs"/>
          <w:rtl/>
        </w:rPr>
        <w:t>ב</w:t>
      </w:r>
      <w:r>
        <w:rPr>
          <w:rFonts w:ascii="Arial" w:hAnsi="Arial" w:cs="Arial"/>
          <w:rtl/>
        </w:rPr>
        <w:t xml:space="preserve">                       </w:t>
      </w:r>
      <w:r w:rsidRPr="002E026B">
        <w:rPr>
          <w:rFonts w:ascii="Arial" w:hAnsi="Arial" w:cs="Arial"/>
          <w:rtl/>
        </w:rPr>
        <w:t xml:space="preserve">   </w:t>
      </w:r>
      <w:r w:rsidRPr="002E026B">
        <w:rPr>
          <w:rFonts w:ascii="Arial" w:hAnsi="Arial" w:cs="Arial"/>
          <w:b/>
          <w:bCs/>
          <w:rtl/>
        </w:rPr>
        <w:t>היקף שעות</w:t>
      </w:r>
      <w:r w:rsidRPr="002E026B">
        <w:rPr>
          <w:rFonts w:ascii="Arial" w:hAnsi="Arial" w:cs="Arial"/>
          <w:rtl/>
        </w:rPr>
        <w:t xml:space="preserve">: </w:t>
      </w:r>
      <w:r>
        <w:rPr>
          <w:rFonts w:ascii="Arial" w:hAnsi="Arial" w:cs="Arial" w:hint="cs"/>
          <w:rtl/>
        </w:rPr>
        <w:t>2</w:t>
      </w:r>
    </w:p>
    <w:p w:rsidR="005F31B8" w:rsidRDefault="005F31B8" w:rsidP="005F31B8">
      <w:pPr>
        <w:spacing w:line="360" w:lineRule="auto"/>
        <w:jc w:val="center"/>
        <w:rPr>
          <w:rFonts w:cs="David"/>
          <w:b/>
          <w:bCs/>
          <w:color w:val="000000"/>
          <w:u w:val="single"/>
          <w:rtl/>
        </w:rPr>
      </w:pPr>
    </w:p>
    <w:p w:rsidR="005F31B8" w:rsidRDefault="005F31B8" w:rsidP="005F31B8">
      <w:pPr>
        <w:rPr>
          <w:b/>
          <w:bCs/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</w:p>
    <w:p w:rsidR="002B29EB" w:rsidRDefault="005F31B8" w:rsidP="00066DBF">
      <w:pPr>
        <w:spacing w:line="360" w:lineRule="auto"/>
        <w:jc w:val="both"/>
        <w:rPr>
          <w:rFonts w:cs="David"/>
          <w:rtl/>
        </w:rPr>
      </w:pPr>
      <w:r>
        <w:rPr>
          <w:rFonts w:cs="David"/>
          <w:b/>
          <w:bCs/>
          <w:u w:val="single"/>
          <w:rtl/>
        </w:rPr>
        <w:t>מטר</w:t>
      </w:r>
      <w:r>
        <w:rPr>
          <w:rFonts w:cs="David" w:hint="cs"/>
          <w:b/>
          <w:bCs/>
          <w:u w:val="single"/>
          <w:rtl/>
        </w:rPr>
        <w:t xml:space="preserve">ת </w:t>
      </w:r>
      <w:r>
        <w:rPr>
          <w:rFonts w:cs="David"/>
          <w:b/>
          <w:bCs/>
          <w:u w:val="single"/>
          <w:rtl/>
        </w:rPr>
        <w:t>הקורס:</w:t>
      </w:r>
      <w:r w:rsidR="002B29EB">
        <w:rPr>
          <w:rFonts w:cs="David"/>
          <w:b/>
          <w:bCs/>
          <w:rtl/>
        </w:rPr>
        <w:t xml:space="preserve"> </w:t>
      </w:r>
      <w:r w:rsidR="002B29EB">
        <w:rPr>
          <w:rFonts w:cs="David"/>
          <w:rtl/>
        </w:rPr>
        <w:t xml:space="preserve">הצגת </w:t>
      </w:r>
      <w:r w:rsidR="002B29EB">
        <w:rPr>
          <w:rFonts w:cs="David" w:hint="cs"/>
          <w:rtl/>
        </w:rPr>
        <w:t>תחומי השימור והפיתוח בדגש על החייאה לתיירות והקשר ביניהם בפיתוח העירוני.</w:t>
      </w:r>
      <w:r w:rsidR="00E34046">
        <w:rPr>
          <w:rFonts w:cs="David" w:hint="cs"/>
          <w:rtl/>
        </w:rPr>
        <w:t xml:space="preserve"> </w:t>
      </w:r>
      <w:r w:rsidR="002B29EB">
        <w:rPr>
          <w:rFonts w:cs="David" w:hint="cs"/>
          <w:rtl/>
        </w:rPr>
        <w:t xml:space="preserve">בחינת תחומי השימור והפיתוח </w:t>
      </w:r>
      <w:r w:rsidR="00B30430">
        <w:rPr>
          <w:rFonts w:cs="David" w:hint="cs"/>
          <w:rtl/>
        </w:rPr>
        <w:t xml:space="preserve">תיעשה </w:t>
      </w:r>
      <w:r w:rsidR="002B29EB">
        <w:rPr>
          <w:rFonts w:cs="David" w:hint="cs"/>
          <w:rtl/>
        </w:rPr>
        <w:t xml:space="preserve">בהקשר של ירושלים </w:t>
      </w:r>
      <w:r w:rsidR="00066DBF">
        <w:rPr>
          <w:rFonts w:cs="David" w:hint="cs"/>
          <w:rtl/>
        </w:rPr>
        <w:t xml:space="preserve">ותל-אביב </w:t>
      </w:r>
      <w:r w:rsidR="002B29EB">
        <w:rPr>
          <w:rFonts w:cs="David" w:hint="cs"/>
          <w:rtl/>
        </w:rPr>
        <w:t>במאה השנים האחרונות</w:t>
      </w:r>
      <w:r w:rsidR="00B30430">
        <w:rPr>
          <w:rFonts w:cs="David" w:hint="cs"/>
          <w:rtl/>
        </w:rPr>
        <w:t xml:space="preserve"> תוך בחינה ואפיון </w:t>
      </w:r>
      <w:r w:rsidR="002B29EB">
        <w:rPr>
          <w:rFonts w:cs="David" w:hint="cs"/>
          <w:rtl/>
        </w:rPr>
        <w:t>תהליכי הניהול והביצוע כפי שבאו לידי ביטוי במספר מכלולי שימור ותיירות ב</w:t>
      </w:r>
      <w:r w:rsidR="00066DBF">
        <w:rPr>
          <w:rFonts w:cs="David" w:hint="cs"/>
          <w:rtl/>
        </w:rPr>
        <w:t>ערים אלה בעת ה</w:t>
      </w:r>
      <w:r w:rsidR="002B29EB">
        <w:rPr>
          <w:rFonts w:cs="David" w:hint="cs"/>
          <w:rtl/>
        </w:rPr>
        <w:t>חדשה.</w:t>
      </w:r>
      <w:r w:rsidR="00B30430">
        <w:rPr>
          <w:rFonts w:cs="David" w:hint="cs"/>
          <w:rtl/>
        </w:rPr>
        <w:t xml:space="preserve"> </w:t>
      </w:r>
      <w:r w:rsidR="002B29EB">
        <w:rPr>
          <w:rFonts w:cs="David" w:hint="cs"/>
          <w:rtl/>
        </w:rPr>
        <w:t xml:space="preserve">במהלך הקורס יוצגו התיירות והשימור בהיבט ההתפתחותי המודרני, שורשי מחשבת השימור בעולם, הגופים העיקריים העוסקים בשימור, הן בארץ הן מחוצה לה וידונו סוגיות נבחרות בשימור ופיתוח אתרים היסטוריים בירושלים </w:t>
      </w:r>
      <w:r w:rsidR="00066DBF">
        <w:rPr>
          <w:rFonts w:cs="David" w:hint="cs"/>
          <w:rtl/>
        </w:rPr>
        <w:t xml:space="preserve">ובתל-אביב </w:t>
      </w:r>
      <w:r w:rsidR="002B29EB">
        <w:rPr>
          <w:rFonts w:cs="David" w:hint="cs"/>
          <w:rtl/>
        </w:rPr>
        <w:t xml:space="preserve">בהדגשה על החייאתם לצרכי תיירות ושיבוצים במרקם התיירות העירוני. </w:t>
      </w:r>
    </w:p>
    <w:p w:rsidR="002B29EB" w:rsidRDefault="002B29EB">
      <w:pPr>
        <w:rPr>
          <w:rFonts w:cs="David"/>
          <w:b/>
          <w:bCs/>
          <w:rtl/>
        </w:rPr>
      </w:pPr>
    </w:p>
    <w:p w:rsidR="002B29EB" w:rsidRDefault="002B29EB">
      <w:pPr>
        <w:rPr>
          <w:rFonts w:cs="David"/>
          <w:b/>
          <w:bCs/>
          <w:u w:val="single"/>
          <w:rtl/>
        </w:rPr>
      </w:pPr>
      <w:r>
        <w:rPr>
          <w:rFonts w:cs="David"/>
          <w:b/>
          <w:bCs/>
          <w:u w:val="single"/>
          <w:rtl/>
        </w:rPr>
        <w:t>תוכנית הקורס:</w:t>
      </w:r>
    </w:p>
    <w:p w:rsidR="002B29EB" w:rsidRDefault="002B29EB">
      <w:pPr>
        <w:rPr>
          <w:rFonts w:cs="David"/>
          <w:b/>
          <w:bCs/>
          <w:rtl/>
        </w:rPr>
      </w:pPr>
    </w:p>
    <w:p w:rsidR="002B29EB" w:rsidRPr="00E34046" w:rsidRDefault="002B29EB">
      <w:pPr>
        <w:numPr>
          <w:ilvl w:val="0"/>
          <w:numId w:val="2"/>
        </w:numPr>
        <w:ind w:right="0"/>
        <w:rPr>
          <w:rFonts w:cs="David"/>
          <w:rtl/>
        </w:rPr>
      </w:pPr>
      <w:r w:rsidRPr="00E34046">
        <w:rPr>
          <w:rFonts w:cs="David" w:hint="cs"/>
          <w:rtl/>
        </w:rPr>
        <w:t xml:space="preserve">מושגי יסוד בשימור ותיירות </w:t>
      </w:r>
      <w:r w:rsidRPr="00E34046">
        <w:rPr>
          <w:rFonts w:cs="David"/>
          <w:rtl/>
        </w:rPr>
        <w:t xml:space="preserve">  </w:t>
      </w:r>
    </w:p>
    <w:p w:rsidR="002B29EB" w:rsidRPr="00E34046" w:rsidRDefault="002B29EB">
      <w:pPr>
        <w:rPr>
          <w:rFonts w:cs="David"/>
          <w:rtl/>
        </w:rPr>
      </w:pPr>
    </w:p>
    <w:p w:rsidR="002B29EB" w:rsidRPr="00E34046" w:rsidRDefault="002B29EB">
      <w:pPr>
        <w:numPr>
          <w:ilvl w:val="0"/>
          <w:numId w:val="2"/>
        </w:numPr>
        <w:ind w:right="0"/>
        <w:rPr>
          <w:rFonts w:cs="David"/>
          <w:rtl/>
        </w:rPr>
      </w:pPr>
      <w:r w:rsidRPr="00E34046">
        <w:rPr>
          <w:rFonts w:cs="David" w:hint="cs"/>
          <w:rtl/>
        </w:rPr>
        <w:t xml:space="preserve">הרקע לצמיחת תנועת השימור במאה ה-20: שורשים טכנולוגיים, כלכליים, משפטיים, תכנוניים, תרבותיים  וחברתיים. </w:t>
      </w:r>
    </w:p>
    <w:p w:rsidR="002B29EB" w:rsidRPr="00E34046" w:rsidRDefault="002B29EB">
      <w:pPr>
        <w:rPr>
          <w:rFonts w:cs="David"/>
        </w:rPr>
      </w:pPr>
    </w:p>
    <w:p w:rsidR="002B29EB" w:rsidRPr="00E34046" w:rsidRDefault="002B29EB">
      <w:pPr>
        <w:numPr>
          <w:ilvl w:val="0"/>
          <w:numId w:val="2"/>
        </w:numPr>
        <w:ind w:right="0"/>
        <w:rPr>
          <w:rFonts w:cs="David"/>
          <w:rtl/>
        </w:rPr>
      </w:pPr>
      <w:r w:rsidRPr="00E34046">
        <w:rPr>
          <w:rFonts w:cs="David"/>
          <w:rtl/>
        </w:rPr>
        <w:t xml:space="preserve"> </w:t>
      </w:r>
      <w:r w:rsidRPr="00E34046">
        <w:rPr>
          <w:rFonts w:cs="David" w:hint="cs"/>
          <w:rtl/>
        </w:rPr>
        <w:t xml:space="preserve">שימור ותיירות במרקם האורבני </w:t>
      </w:r>
      <w:r w:rsidRPr="00E34046">
        <w:rPr>
          <w:rFonts w:cs="David"/>
          <w:rtl/>
        </w:rPr>
        <w:t>–</w:t>
      </w:r>
      <w:r w:rsidRPr="00E34046">
        <w:rPr>
          <w:rFonts w:cs="David" w:hint="cs"/>
          <w:rtl/>
        </w:rPr>
        <w:t xml:space="preserve"> מרכיבים ומאפיינים של יחידות אורבניות ותהליך שימורם כחלק מתהליכים חברתיים, כלכליים ותרבותיים, התברגנות שכונות (</w:t>
      </w:r>
      <w:proofErr w:type="spellStart"/>
      <w:r w:rsidRPr="00E34046">
        <w:rPr>
          <w:rFonts w:cs="David" w:hint="cs"/>
          <w:rtl/>
        </w:rPr>
        <w:t>ג'נטריפיקציה</w:t>
      </w:r>
      <w:proofErr w:type="spellEnd"/>
      <w:r w:rsidRPr="00E34046">
        <w:rPr>
          <w:rFonts w:cs="David" w:hint="cs"/>
          <w:rtl/>
        </w:rPr>
        <w:t>).</w:t>
      </w:r>
    </w:p>
    <w:p w:rsidR="002B29EB" w:rsidRPr="00E34046" w:rsidRDefault="002B29EB">
      <w:pPr>
        <w:rPr>
          <w:rFonts w:cs="David"/>
        </w:rPr>
      </w:pPr>
    </w:p>
    <w:p w:rsidR="002B29EB" w:rsidRPr="00E34046" w:rsidRDefault="002B29EB">
      <w:pPr>
        <w:numPr>
          <w:ilvl w:val="0"/>
          <w:numId w:val="2"/>
        </w:numPr>
        <w:ind w:right="0"/>
        <w:rPr>
          <w:rFonts w:cs="David"/>
        </w:rPr>
      </w:pPr>
      <w:r w:rsidRPr="00E34046">
        <w:rPr>
          <w:rFonts w:cs="David"/>
          <w:rtl/>
        </w:rPr>
        <w:t xml:space="preserve"> </w:t>
      </w:r>
      <w:r w:rsidRPr="00E34046">
        <w:rPr>
          <w:rFonts w:cs="David" w:hint="cs"/>
          <w:rtl/>
        </w:rPr>
        <w:t xml:space="preserve">התיירות ככלי לשיקום מרכזי ערים </w:t>
      </w:r>
      <w:r w:rsidRPr="00E34046">
        <w:rPr>
          <w:rFonts w:cs="David"/>
          <w:rtl/>
        </w:rPr>
        <w:t>–</w:t>
      </w:r>
      <w:r w:rsidRPr="00E34046">
        <w:rPr>
          <w:rFonts w:cs="David" w:hint="cs"/>
          <w:rtl/>
        </w:rPr>
        <w:t xml:space="preserve"> העיר הפרה-תעשייתית והאסטרטגיות העיקריות לשיקומה. </w:t>
      </w:r>
    </w:p>
    <w:p w:rsidR="002B29EB" w:rsidRPr="00E34046" w:rsidRDefault="002B29EB">
      <w:pPr>
        <w:rPr>
          <w:rFonts w:cs="David"/>
        </w:rPr>
      </w:pPr>
    </w:p>
    <w:p w:rsidR="002B29EB" w:rsidRPr="00E34046" w:rsidRDefault="002B29EB" w:rsidP="005F31B8">
      <w:pPr>
        <w:numPr>
          <w:ilvl w:val="0"/>
          <w:numId w:val="2"/>
        </w:numPr>
        <w:ind w:right="0"/>
        <w:rPr>
          <w:rFonts w:cs="David"/>
          <w:rtl/>
        </w:rPr>
      </w:pPr>
      <w:r w:rsidRPr="00E34046">
        <w:rPr>
          <w:rFonts w:cs="David"/>
          <w:rtl/>
        </w:rPr>
        <w:t xml:space="preserve"> </w:t>
      </w:r>
      <w:r w:rsidRPr="00E34046">
        <w:rPr>
          <w:rFonts w:cs="David" w:hint="cs"/>
          <w:rtl/>
        </w:rPr>
        <w:t>שימור ופיתוח תיירות ב</w:t>
      </w:r>
      <w:r w:rsidR="005F31B8" w:rsidRPr="00E34046">
        <w:rPr>
          <w:rFonts w:cs="David" w:hint="cs"/>
          <w:rtl/>
        </w:rPr>
        <w:t xml:space="preserve">ירושלים </w:t>
      </w:r>
      <w:r w:rsidR="00066DBF">
        <w:rPr>
          <w:rFonts w:cs="David" w:hint="cs"/>
          <w:rtl/>
        </w:rPr>
        <w:t xml:space="preserve">ובתל-אביב </w:t>
      </w:r>
      <w:r w:rsidRPr="00E34046">
        <w:rPr>
          <w:rFonts w:cs="David" w:hint="cs"/>
          <w:rtl/>
        </w:rPr>
        <w:t>כאסטרטגי</w:t>
      </w:r>
      <w:r w:rsidR="005F31B8" w:rsidRPr="00E34046">
        <w:rPr>
          <w:rFonts w:cs="David" w:hint="cs"/>
          <w:rtl/>
        </w:rPr>
        <w:t>ת</w:t>
      </w:r>
      <w:r w:rsidRPr="00E34046">
        <w:rPr>
          <w:rFonts w:cs="David" w:hint="cs"/>
          <w:rtl/>
        </w:rPr>
        <w:t xml:space="preserve"> </w:t>
      </w:r>
      <w:r w:rsidR="005F31B8" w:rsidRPr="00E34046">
        <w:rPr>
          <w:rFonts w:cs="David" w:hint="cs"/>
          <w:rtl/>
        </w:rPr>
        <w:t xml:space="preserve">פיתוח </w:t>
      </w:r>
      <w:r w:rsidRPr="00E34046">
        <w:rPr>
          <w:rFonts w:cs="David"/>
          <w:rtl/>
        </w:rPr>
        <w:t>–</w:t>
      </w:r>
      <w:r w:rsidRPr="00E34046">
        <w:rPr>
          <w:rFonts w:cs="David" w:hint="cs"/>
          <w:rtl/>
        </w:rPr>
        <w:t xml:space="preserve"> ציוני דרך מרכזיים</w:t>
      </w:r>
      <w:r w:rsidR="005F31B8" w:rsidRPr="00E34046">
        <w:rPr>
          <w:rFonts w:cs="David" w:hint="cs"/>
          <w:rtl/>
        </w:rPr>
        <w:t>.</w:t>
      </w:r>
    </w:p>
    <w:p w:rsidR="002B29EB" w:rsidRPr="00E34046" w:rsidRDefault="002B29EB">
      <w:pPr>
        <w:rPr>
          <w:rFonts w:cs="David"/>
        </w:rPr>
      </w:pPr>
    </w:p>
    <w:p w:rsidR="005F31B8" w:rsidRPr="00066DBF" w:rsidRDefault="002B29EB" w:rsidP="00756CB8">
      <w:pPr>
        <w:numPr>
          <w:ilvl w:val="0"/>
          <w:numId w:val="2"/>
        </w:numPr>
        <w:ind w:right="0"/>
        <w:rPr>
          <w:rFonts w:cs="David"/>
          <w:b/>
          <w:bCs/>
          <w:u w:val="single"/>
        </w:rPr>
      </w:pPr>
      <w:r w:rsidRPr="00066DBF">
        <w:rPr>
          <w:rFonts w:cs="David"/>
          <w:rtl/>
        </w:rPr>
        <w:t xml:space="preserve"> </w:t>
      </w:r>
      <w:r w:rsidRPr="00066DBF">
        <w:rPr>
          <w:rFonts w:cs="David" w:hint="cs"/>
          <w:rtl/>
        </w:rPr>
        <w:t xml:space="preserve">סיור במרחבי שימור ופיתוח </w:t>
      </w:r>
      <w:r w:rsidR="00066DBF" w:rsidRPr="00066DBF">
        <w:rPr>
          <w:rFonts w:cs="David" w:hint="cs"/>
          <w:rtl/>
        </w:rPr>
        <w:t xml:space="preserve">נבחרים </w:t>
      </w:r>
      <w:r w:rsidRPr="00066DBF">
        <w:rPr>
          <w:rFonts w:cs="David" w:hint="cs"/>
          <w:rtl/>
        </w:rPr>
        <w:t>בירושלים</w:t>
      </w:r>
      <w:r w:rsidR="00066DBF" w:rsidRPr="00066DBF">
        <w:rPr>
          <w:rFonts w:cs="David" w:hint="cs"/>
          <w:rtl/>
        </w:rPr>
        <w:t xml:space="preserve"> ובתל- אביב. </w:t>
      </w:r>
    </w:p>
    <w:p w:rsidR="00066DBF" w:rsidRDefault="00066DBF" w:rsidP="00066DBF">
      <w:pPr>
        <w:ind w:left="360"/>
        <w:rPr>
          <w:rFonts w:cs="David"/>
          <w:rtl/>
        </w:rPr>
      </w:pPr>
    </w:p>
    <w:p w:rsidR="00066DBF" w:rsidRDefault="00066DBF" w:rsidP="00066DBF">
      <w:pPr>
        <w:ind w:left="360"/>
        <w:rPr>
          <w:rFonts w:cs="David"/>
          <w:b/>
          <w:bCs/>
          <w:u w:val="single"/>
          <w:rtl/>
        </w:rPr>
      </w:pPr>
    </w:p>
    <w:p w:rsidR="00E34046" w:rsidRPr="00FE0A44" w:rsidRDefault="00E72131" w:rsidP="00E72131">
      <w:pPr>
        <w:spacing w:line="360" w:lineRule="auto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 xml:space="preserve">מבנה </w:t>
      </w:r>
      <w:r w:rsidR="00E34046" w:rsidRPr="00FE0A44">
        <w:rPr>
          <w:rFonts w:cs="David"/>
          <w:b/>
          <w:bCs/>
          <w:u w:val="single"/>
          <w:rtl/>
        </w:rPr>
        <w:t>הקורס:</w:t>
      </w:r>
    </w:p>
    <w:p w:rsidR="00E72131" w:rsidRDefault="00E72131" w:rsidP="00066DBF">
      <w:pPr>
        <w:spacing w:line="360" w:lineRule="auto"/>
        <w:ind w:right="360"/>
        <w:rPr>
          <w:rFonts w:cs="David"/>
          <w:rtl/>
        </w:rPr>
      </w:pPr>
      <w:r>
        <w:rPr>
          <w:rFonts w:cs="David" w:hint="cs"/>
          <w:rtl/>
        </w:rPr>
        <w:t>הקורס מורכב מ-</w:t>
      </w:r>
      <w:r w:rsidR="00066DBF">
        <w:rPr>
          <w:rFonts w:cs="David" w:hint="cs"/>
          <w:rtl/>
        </w:rPr>
        <w:t xml:space="preserve">3-2 מפגשים בכיתה ו 5-4 </w:t>
      </w:r>
      <w:r>
        <w:rPr>
          <w:rFonts w:cs="David" w:hint="cs"/>
          <w:rtl/>
        </w:rPr>
        <w:t>סיורים</w:t>
      </w:r>
      <w:r w:rsidR="00066DBF">
        <w:rPr>
          <w:rFonts w:cs="David" w:hint="cs"/>
          <w:rtl/>
        </w:rPr>
        <w:t>.</w:t>
      </w:r>
      <w:r>
        <w:rPr>
          <w:rFonts w:cs="David" w:hint="cs"/>
          <w:rtl/>
        </w:rPr>
        <w:t xml:space="preserve"> </w:t>
      </w:r>
    </w:p>
    <w:p w:rsidR="00E72131" w:rsidRDefault="00E72131" w:rsidP="00E72131">
      <w:pPr>
        <w:spacing w:line="360" w:lineRule="auto"/>
        <w:ind w:right="360"/>
        <w:rPr>
          <w:rFonts w:cs="David"/>
          <w:rtl/>
        </w:rPr>
      </w:pPr>
    </w:p>
    <w:p w:rsidR="00E72131" w:rsidRDefault="00E72131" w:rsidP="00E72131">
      <w:pPr>
        <w:spacing w:line="360" w:lineRule="auto"/>
        <w:ind w:right="360"/>
        <w:rPr>
          <w:rFonts w:cs="David"/>
          <w:rtl/>
        </w:rPr>
      </w:pPr>
      <w:r>
        <w:rPr>
          <w:rFonts w:cs="David" w:hint="cs"/>
          <w:rtl/>
        </w:rPr>
        <w:t>לקראת  הסיורים יהיה על כל תלמיד</w:t>
      </w:r>
      <w:r w:rsidR="00AB0D97">
        <w:rPr>
          <w:rFonts w:cs="David" w:hint="cs"/>
          <w:rtl/>
        </w:rPr>
        <w:t>/ה</w:t>
      </w:r>
      <w:r>
        <w:rPr>
          <w:rFonts w:cs="David" w:hint="cs"/>
          <w:rtl/>
        </w:rPr>
        <w:t xml:space="preserve"> להכין הצגה בת כ-15-10 על מבנה לשימור שייבחר</w:t>
      </w:r>
      <w:r w:rsidR="00AB0D97">
        <w:rPr>
          <w:rFonts w:cs="David" w:hint="cs"/>
          <w:rtl/>
        </w:rPr>
        <w:t xml:space="preserve"> על ידו/ה</w:t>
      </w:r>
      <w:r>
        <w:rPr>
          <w:rFonts w:cs="David" w:hint="cs"/>
          <w:rtl/>
        </w:rPr>
        <w:t xml:space="preserve"> מבעוד מועד</w:t>
      </w:r>
      <w:r w:rsidR="00B97696">
        <w:rPr>
          <w:rFonts w:cs="David" w:hint="cs"/>
          <w:rtl/>
        </w:rPr>
        <w:t>.</w:t>
      </w:r>
      <w:r>
        <w:rPr>
          <w:rFonts w:cs="David" w:hint="cs"/>
          <w:rtl/>
        </w:rPr>
        <w:t xml:space="preserve"> </w:t>
      </w:r>
    </w:p>
    <w:p w:rsidR="00E72131" w:rsidRDefault="00E72131" w:rsidP="00E72131">
      <w:pPr>
        <w:spacing w:line="360" w:lineRule="auto"/>
        <w:ind w:right="360"/>
        <w:rPr>
          <w:rFonts w:cs="David"/>
          <w:rtl/>
        </w:rPr>
      </w:pPr>
    </w:p>
    <w:p w:rsidR="00E34046" w:rsidRPr="00B30430" w:rsidRDefault="00E72131" w:rsidP="00E72131">
      <w:pPr>
        <w:spacing w:line="360" w:lineRule="auto"/>
        <w:ind w:right="360"/>
        <w:rPr>
          <w:rFonts w:cs="David"/>
        </w:rPr>
      </w:pPr>
      <w:r w:rsidRPr="00E72131">
        <w:rPr>
          <w:rFonts w:cs="David" w:hint="cs"/>
          <w:b/>
          <w:bCs/>
          <w:u w:val="single"/>
          <w:rtl/>
        </w:rPr>
        <w:t xml:space="preserve">מטלות </w:t>
      </w:r>
      <w:r w:rsidR="005908AF">
        <w:rPr>
          <w:rFonts w:cs="David" w:hint="cs"/>
          <w:b/>
          <w:bCs/>
          <w:u w:val="single"/>
          <w:rtl/>
        </w:rPr>
        <w:t xml:space="preserve">וציון </w:t>
      </w:r>
      <w:r w:rsidRPr="00E72131">
        <w:rPr>
          <w:rFonts w:cs="David" w:hint="cs"/>
          <w:b/>
          <w:bCs/>
          <w:u w:val="single"/>
          <w:rtl/>
        </w:rPr>
        <w:t>הקורס</w:t>
      </w:r>
    </w:p>
    <w:p w:rsidR="00E72131" w:rsidRDefault="00E72131" w:rsidP="00BD366D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lastRenderedPageBreak/>
        <w:t>חובת הנוכחות היא מלאה בשיעורים ובסיורים כאחד.</w:t>
      </w:r>
      <w:r w:rsidRPr="00B30430">
        <w:rPr>
          <w:rFonts w:cs="David" w:hint="cs"/>
          <w:rtl/>
        </w:rPr>
        <w:t xml:space="preserve"> </w:t>
      </w:r>
    </w:p>
    <w:p w:rsidR="00E72131" w:rsidRDefault="00E72131" w:rsidP="005908AF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הצגת  פרזנטציה על אתר שימורי נבחר באחד מהסיורים</w:t>
      </w:r>
      <w:r w:rsidR="005908AF">
        <w:rPr>
          <w:rFonts w:cs="David" w:hint="cs"/>
          <w:rtl/>
        </w:rPr>
        <w:t xml:space="preserve"> - </w:t>
      </w:r>
      <w:r>
        <w:rPr>
          <w:rFonts w:cs="David" w:hint="cs"/>
          <w:rtl/>
        </w:rPr>
        <w:t xml:space="preserve"> </w:t>
      </w:r>
      <w:r w:rsidR="005908AF">
        <w:rPr>
          <w:rFonts w:cs="David" w:hint="cs"/>
          <w:rtl/>
        </w:rPr>
        <w:t>20% מהציון הסופי.</w:t>
      </w:r>
    </w:p>
    <w:p w:rsidR="00B97696" w:rsidRDefault="00E72131" w:rsidP="005908AF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הגשת דוח סיור שיכלול את </w:t>
      </w:r>
      <w:r w:rsidR="00B97696">
        <w:rPr>
          <w:rFonts w:cs="David" w:hint="cs"/>
          <w:rtl/>
        </w:rPr>
        <w:t>האתר הנבחר והסיור של אותו יום</w:t>
      </w:r>
      <w:r w:rsidR="005908AF">
        <w:rPr>
          <w:rFonts w:cs="David" w:hint="cs"/>
          <w:rtl/>
        </w:rPr>
        <w:t xml:space="preserve"> - 10% מהציון הסופי.</w:t>
      </w:r>
    </w:p>
    <w:p w:rsidR="00E72131" w:rsidRDefault="005908AF" w:rsidP="005908AF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בחינה על החומר הנלמד בכיתה, בסיור ו</w:t>
      </w:r>
      <w:r w:rsidR="00E72131">
        <w:rPr>
          <w:rFonts w:cs="David" w:hint="cs"/>
          <w:rtl/>
        </w:rPr>
        <w:t>ברשימ</w:t>
      </w:r>
      <w:r>
        <w:rPr>
          <w:rFonts w:cs="David" w:hint="cs"/>
          <w:rtl/>
        </w:rPr>
        <w:t xml:space="preserve">ת הקריאה </w:t>
      </w:r>
      <w:r w:rsidR="00E72131">
        <w:rPr>
          <w:rFonts w:cs="David" w:hint="cs"/>
          <w:rtl/>
        </w:rPr>
        <w:t>המצורפת</w:t>
      </w:r>
      <w:r>
        <w:rPr>
          <w:rFonts w:cs="David" w:hint="cs"/>
          <w:rtl/>
        </w:rPr>
        <w:t xml:space="preserve"> -</w:t>
      </w:r>
      <w:r w:rsidR="00E72131" w:rsidRPr="00B30430">
        <w:rPr>
          <w:rFonts w:cs="David"/>
          <w:rtl/>
        </w:rPr>
        <w:t xml:space="preserve"> </w:t>
      </w:r>
      <w:r>
        <w:rPr>
          <w:rFonts w:cs="David" w:hint="cs"/>
          <w:rtl/>
        </w:rPr>
        <w:t>70% מהציון הסופי.</w:t>
      </w:r>
    </w:p>
    <w:p w:rsidR="00B97696" w:rsidRDefault="00B97696" w:rsidP="00E72131">
      <w:pPr>
        <w:spacing w:line="360" w:lineRule="auto"/>
        <w:rPr>
          <w:rFonts w:cs="David"/>
          <w:b/>
          <w:bCs/>
          <w:u w:val="single"/>
          <w:rtl/>
        </w:rPr>
      </w:pPr>
    </w:p>
    <w:p w:rsidR="00E45E0D" w:rsidRDefault="00E45E0D" w:rsidP="005908AF">
      <w:pPr>
        <w:spacing w:line="360" w:lineRule="auto"/>
        <w:rPr>
          <w:rFonts w:cs="David"/>
          <w:b/>
          <w:bCs/>
          <w:u w:val="single"/>
          <w:rtl/>
        </w:rPr>
      </w:pPr>
    </w:p>
    <w:p w:rsidR="002B29EB" w:rsidRDefault="005F31B8" w:rsidP="005F31B8">
      <w:pPr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>רשימת קריאה:</w:t>
      </w:r>
    </w:p>
    <w:p w:rsidR="002B29EB" w:rsidRDefault="002B29EB">
      <w:pPr>
        <w:rPr>
          <w:rFonts w:cs="David"/>
          <w:b/>
          <w:bCs/>
          <w:u w:val="single"/>
          <w:rtl/>
        </w:rPr>
      </w:pPr>
    </w:p>
    <w:p w:rsidR="002B29EB" w:rsidRDefault="005F31B8">
      <w:pPr>
        <w:rPr>
          <w:u w:val="single"/>
          <w:rtl/>
        </w:rPr>
      </w:pPr>
      <w:r>
        <w:rPr>
          <w:rFonts w:hint="cs"/>
          <w:u w:val="single"/>
          <w:rtl/>
        </w:rPr>
        <w:t xml:space="preserve">1. </w:t>
      </w:r>
      <w:r w:rsidR="002B29EB">
        <w:rPr>
          <w:rFonts w:hint="cs"/>
          <w:u w:val="single"/>
          <w:rtl/>
        </w:rPr>
        <w:t xml:space="preserve">שימור ותיירות </w:t>
      </w:r>
      <w:r w:rsidR="002B29EB">
        <w:rPr>
          <w:u w:val="single"/>
          <w:rtl/>
        </w:rPr>
        <w:t>–</w:t>
      </w:r>
      <w:r w:rsidR="002B29EB">
        <w:rPr>
          <w:rFonts w:hint="cs"/>
          <w:u w:val="single"/>
          <w:rtl/>
        </w:rPr>
        <w:t xml:space="preserve"> כללי</w:t>
      </w:r>
    </w:p>
    <w:p w:rsidR="002B29EB" w:rsidRDefault="002B29EB">
      <w:pPr>
        <w:rPr>
          <w:rtl/>
        </w:rPr>
      </w:pPr>
    </w:p>
    <w:p w:rsidR="002B29EB" w:rsidRDefault="002B29EB" w:rsidP="005F31B8">
      <w:pPr>
        <w:pStyle w:val="3"/>
        <w:bidi w:val="0"/>
        <w:jc w:val="both"/>
        <w:rPr>
          <w:rFonts w:cs="Times New Roman"/>
          <w:color w:val="auto"/>
          <w:sz w:val="22"/>
          <w:u w:val="none"/>
          <w:lang w:eastAsia="en-US"/>
        </w:rPr>
      </w:pPr>
      <w:r>
        <w:rPr>
          <w:rFonts w:cs="Times New Roman"/>
          <w:color w:val="auto"/>
          <w:sz w:val="22"/>
          <w:u w:val="none"/>
          <w:lang w:eastAsia="en-US"/>
        </w:rPr>
        <w:t xml:space="preserve">Ashworth, G, J &amp; </w:t>
      </w:r>
      <w:proofErr w:type="spellStart"/>
      <w:r>
        <w:rPr>
          <w:rFonts w:cs="Times New Roman"/>
          <w:color w:val="auto"/>
          <w:sz w:val="22"/>
          <w:u w:val="none"/>
          <w:lang w:eastAsia="en-US"/>
        </w:rPr>
        <w:t>Tunbridge</w:t>
      </w:r>
      <w:proofErr w:type="spellEnd"/>
      <w:r>
        <w:rPr>
          <w:rFonts w:cs="Times New Roman"/>
          <w:color w:val="auto"/>
          <w:sz w:val="22"/>
          <w:u w:val="none"/>
          <w:lang w:eastAsia="en-US"/>
        </w:rPr>
        <w:t xml:space="preserve">, J, E. </w:t>
      </w:r>
      <w:r w:rsidR="005F31B8">
        <w:rPr>
          <w:rFonts w:cs="Times New Roman"/>
          <w:color w:val="auto"/>
          <w:sz w:val="22"/>
          <w:u w:val="none"/>
          <w:lang w:eastAsia="en-US"/>
        </w:rPr>
        <w:t xml:space="preserve">(2000), </w:t>
      </w:r>
      <w:proofErr w:type="gramStart"/>
      <w:r>
        <w:rPr>
          <w:rFonts w:cs="Times New Roman"/>
          <w:color w:val="auto"/>
          <w:sz w:val="22"/>
          <w:lang w:eastAsia="en-US"/>
        </w:rPr>
        <w:t>The</w:t>
      </w:r>
      <w:proofErr w:type="gramEnd"/>
      <w:r>
        <w:rPr>
          <w:rFonts w:cs="Times New Roman"/>
          <w:color w:val="auto"/>
          <w:sz w:val="22"/>
          <w:lang w:eastAsia="en-US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rFonts w:cs="Times New Roman"/>
              <w:color w:val="auto"/>
              <w:sz w:val="22"/>
              <w:lang w:eastAsia="en-US"/>
            </w:rPr>
            <w:t>Tourist-Historic</w:t>
          </w:r>
        </w:smartTag>
        <w:r>
          <w:rPr>
            <w:rFonts w:cs="Times New Roman"/>
            <w:color w:val="auto"/>
            <w:sz w:val="22"/>
            <w:lang w:eastAsia="en-US"/>
          </w:rPr>
          <w:t xml:space="preserve"> </w:t>
        </w:r>
        <w:smartTag w:uri="urn:schemas-microsoft-com:office:smarttags" w:element="PlaceType">
          <w:r>
            <w:rPr>
              <w:rFonts w:cs="Times New Roman"/>
              <w:color w:val="auto"/>
              <w:sz w:val="22"/>
              <w:lang w:eastAsia="en-US"/>
            </w:rPr>
            <w:t>City</w:t>
          </w:r>
        </w:smartTag>
      </w:smartTag>
      <w:r>
        <w:rPr>
          <w:rFonts w:cs="Times New Roman"/>
          <w:color w:val="auto"/>
          <w:sz w:val="22"/>
          <w:u w:val="none"/>
          <w:lang w:eastAsia="en-US"/>
        </w:rPr>
        <w:t>, London &amp; New-York</w:t>
      </w:r>
      <w:r w:rsidR="005F31B8">
        <w:rPr>
          <w:rFonts w:cs="Times New Roman"/>
          <w:color w:val="auto"/>
          <w:sz w:val="22"/>
          <w:u w:val="none"/>
          <w:lang w:eastAsia="en-US"/>
        </w:rPr>
        <w:t xml:space="preserve">. </w:t>
      </w:r>
    </w:p>
    <w:p w:rsidR="002B29EB" w:rsidRDefault="002B29EB">
      <w:pPr>
        <w:pStyle w:val="3"/>
        <w:bidi w:val="0"/>
        <w:jc w:val="left"/>
        <w:rPr>
          <w:rFonts w:cs="Times New Roman"/>
          <w:color w:val="auto"/>
          <w:sz w:val="22"/>
          <w:u w:val="none"/>
          <w:lang w:eastAsia="en-US"/>
        </w:rPr>
      </w:pPr>
    </w:p>
    <w:p w:rsidR="002B29EB" w:rsidRDefault="002B29EB" w:rsidP="005F31B8">
      <w:pPr>
        <w:pStyle w:val="3"/>
        <w:bidi w:val="0"/>
        <w:jc w:val="left"/>
        <w:rPr>
          <w:rFonts w:cs="Times New Roman"/>
          <w:color w:val="auto"/>
          <w:sz w:val="22"/>
          <w:u w:val="none"/>
          <w:lang w:eastAsia="en-US"/>
        </w:rPr>
      </w:pPr>
      <w:r>
        <w:rPr>
          <w:rFonts w:cs="Times New Roman"/>
          <w:color w:val="auto"/>
          <w:sz w:val="22"/>
          <w:u w:val="none"/>
          <w:lang w:eastAsia="en-US"/>
        </w:rPr>
        <w:t>Boniface, B, G. &amp; Cooper, C, P</w:t>
      </w:r>
      <w:proofErr w:type="gramStart"/>
      <w:r>
        <w:rPr>
          <w:rFonts w:cs="Times New Roman"/>
          <w:color w:val="auto"/>
          <w:sz w:val="22"/>
          <w:u w:val="none"/>
          <w:lang w:eastAsia="en-US"/>
        </w:rPr>
        <w:t>.</w:t>
      </w:r>
      <w:r w:rsidR="005F31B8">
        <w:rPr>
          <w:rFonts w:cs="Times New Roman"/>
          <w:color w:val="auto"/>
          <w:sz w:val="22"/>
          <w:u w:val="none"/>
          <w:lang w:eastAsia="en-US"/>
        </w:rPr>
        <w:t>(</w:t>
      </w:r>
      <w:proofErr w:type="gramEnd"/>
      <w:r w:rsidR="005F31B8">
        <w:rPr>
          <w:rFonts w:cs="Times New Roman"/>
          <w:color w:val="auto"/>
          <w:sz w:val="22"/>
          <w:u w:val="none"/>
          <w:lang w:eastAsia="en-US"/>
        </w:rPr>
        <w:t xml:space="preserve">1988), </w:t>
      </w:r>
      <w:r>
        <w:rPr>
          <w:rFonts w:cs="Times New Roman"/>
          <w:color w:val="auto"/>
          <w:sz w:val="22"/>
          <w:lang w:eastAsia="en-US"/>
        </w:rPr>
        <w:t>The Geography of Travel &amp; Tourism</w:t>
      </w:r>
      <w:r>
        <w:rPr>
          <w:rFonts w:cs="Times New Roman"/>
          <w:color w:val="auto"/>
          <w:sz w:val="22"/>
          <w:u w:val="none"/>
          <w:lang w:eastAsia="en-US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cs="Times New Roman"/>
              <w:color w:val="auto"/>
              <w:sz w:val="22"/>
              <w:u w:val="none"/>
              <w:lang w:eastAsia="en-US"/>
            </w:rPr>
            <w:t>Oxford</w:t>
          </w:r>
        </w:smartTag>
      </w:smartTag>
      <w:r w:rsidR="005F31B8">
        <w:rPr>
          <w:rFonts w:cs="Times New Roman"/>
          <w:color w:val="auto"/>
          <w:sz w:val="22"/>
          <w:u w:val="none"/>
          <w:lang w:eastAsia="en-US"/>
        </w:rPr>
        <w:t>.</w:t>
      </w:r>
    </w:p>
    <w:p w:rsidR="002B29EB" w:rsidRDefault="002B29EB">
      <w:pPr>
        <w:bidi w:val="0"/>
        <w:jc w:val="both"/>
        <w:rPr>
          <w:sz w:val="22"/>
          <w:lang w:eastAsia="en-US"/>
        </w:rPr>
      </w:pPr>
    </w:p>
    <w:p w:rsidR="002B29EB" w:rsidRDefault="002B29EB" w:rsidP="005F31B8">
      <w:pPr>
        <w:bidi w:val="0"/>
        <w:jc w:val="both"/>
      </w:pPr>
      <w:proofErr w:type="spellStart"/>
      <w:r>
        <w:t>Lichfield</w:t>
      </w:r>
      <w:proofErr w:type="spellEnd"/>
      <w:r>
        <w:t xml:space="preserve"> N</w:t>
      </w:r>
      <w:proofErr w:type="gramStart"/>
      <w:r>
        <w:t>.</w:t>
      </w:r>
      <w:r w:rsidR="005F31B8">
        <w:t>(</w:t>
      </w:r>
      <w:proofErr w:type="gramEnd"/>
      <w:r w:rsidR="005F31B8">
        <w:t>1988),</w:t>
      </w:r>
      <w:r>
        <w:rPr>
          <w:u w:val="single"/>
        </w:rPr>
        <w:t>Economics in Urban Conservation</w:t>
      </w:r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Cambridge</w:t>
          </w:r>
        </w:smartTag>
      </w:smartTag>
      <w:r w:rsidR="005F31B8">
        <w:t>.</w:t>
      </w:r>
    </w:p>
    <w:p w:rsidR="002B29EB" w:rsidRDefault="002B29EB">
      <w:pPr>
        <w:bidi w:val="0"/>
        <w:jc w:val="both"/>
      </w:pPr>
    </w:p>
    <w:p w:rsidR="002B29EB" w:rsidRDefault="002B29EB">
      <w:pPr>
        <w:bidi w:val="0"/>
        <w:jc w:val="both"/>
        <w:rPr>
          <w:sz w:val="22"/>
          <w:u w:val="single"/>
          <w:lang w:eastAsia="en-US"/>
        </w:rPr>
      </w:pPr>
      <w:proofErr w:type="spellStart"/>
      <w:r>
        <w:rPr>
          <w:sz w:val="22"/>
          <w:lang w:eastAsia="en-US"/>
        </w:rPr>
        <w:t>Orbaşli</w:t>
      </w:r>
      <w:proofErr w:type="spellEnd"/>
      <w:r>
        <w:rPr>
          <w:sz w:val="22"/>
          <w:lang w:eastAsia="en-US"/>
        </w:rPr>
        <w:t xml:space="preserve">, A. </w:t>
      </w:r>
      <w:r w:rsidR="005F31B8">
        <w:rPr>
          <w:sz w:val="22"/>
          <w:lang w:eastAsia="en-US"/>
        </w:rPr>
        <w:t>(2000)</w:t>
      </w:r>
      <w:proofErr w:type="gramStart"/>
      <w:r w:rsidR="005F31B8">
        <w:rPr>
          <w:sz w:val="22"/>
          <w:lang w:eastAsia="en-US"/>
        </w:rPr>
        <w:t>,</w:t>
      </w:r>
      <w:r>
        <w:rPr>
          <w:sz w:val="22"/>
          <w:u w:val="single"/>
          <w:lang w:eastAsia="en-US"/>
        </w:rPr>
        <w:t>Tourists</w:t>
      </w:r>
      <w:proofErr w:type="gramEnd"/>
      <w:r>
        <w:rPr>
          <w:sz w:val="22"/>
          <w:u w:val="single"/>
          <w:lang w:eastAsia="en-US"/>
        </w:rPr>
        <w:t xml:space="preserve"> in Historic Towns: Urban Conservation and Heritage </w:t>
      </w:r>
    </w:p>
    <w:p w:rsidR="002B29EB" w:rsidRDefault="002B29EB" w:rsidP="005F31B8">
      <w:pPr>
        <w:ind w:left="1440"/>
        <w:jc w:val="right"/>
        <w:rPr>
          <w:sz w:val="22"/>
          <w:lang w:eastAsia="en-US"/>
        </w:rPr>
      </w:pPr>
      <w:r>
        <w:rPr>
          <w:sz w:val="22"/>
          <w:u w:val="single"/>
          <w:lang w:eastAsia="en-US"/>
        </w:rPr>
        <w:t>Management</w:t>
      </w:r>
      <w:r>
        <w:rPr>
          <w:sz w:val="22"/>
          <w:lang w:eastAsia="en-US"/>
        </w:rPr>
        <w:t>, London and New York</w:t>
      </w:r>
      <w:r w:rsidR="005F31B8">
        <w:rPr>
          <w:sz w:val="22"/>
          <w:lang w:eastAsia="en-US"/>
        </w:rPr>
        <w:t xml:space="preserve">. </w:t>
      </w:r>
    </w:p>
    <w:p w:rsidR="002B29EB" w:rsidRDefault="002B29EB">
      <w:pPr>
        <w:jc w:val="both"/>
        <w:rPr>
          <w:sz w:val="22"/>
          <w:rtl/>
          <w:lang w:eastAsia="en-US"/>
        </w:rPr>
      </w:pPr>
    </w:p>
    <w:p w:rsidR="002B29EB" w:rsidRDefault="002B29EB" w:rsidP="00B97696">
      <w:pPr>
        <w:pStyle w:val="3"/>
        <w:bidi w:val="0"/>
        <w:jc w:val="left"/>
        <w:rPr>
          <w:rFonts w:cs="Times New Roman"/>
          <w:color w:val="auto"/>
          <w:sz w:val="22"/>
          <w:u w:val="none"/>
          <w:lang w:eastAsia="en-US"/>
        </w:rPr>
      </w:pPr>
      <w:r>
        <w:rPr>
          <w:rFonts w:cs="Times New Roman"/>
          <w:color w:val="auto"/>
          <w:sz w:val="22"/>
          <w:u w:val="none"/>
          <w:lang w:eastAsia="en-US"/>
        </w:rPr>
        <w:t xml:space="preserve">Prentice, R. </w:t>
      </w:r>
      <w:r w:rsidR="005F31B8">
        <w:rPr>
          <w:rFonts w:cs="Times New Roman"/>
          <w:color w:val="auto"/>
          <w:sz w:val="22"/>
          <w:u w:val="none"/>
          <w:lang w:eastAsia="en-US"/>
        </w:rPr>
        <w:t xml:space="preserve">(1993), </w:t>
      </w:r>
      <w:r w:rsidR="00B97696">
        <w:rPr>
          <w:rFonts w:cs="Times New Roman"/>
          <w:color w:val="auto"/>
          <w:sz w:val="22"/>
          <w:lang w:eastAsia="en-US"/>
        </w:rPr>
        <w:t>T</w:t>
      </w:r>
      <w:r>
        <w:rPr>
          <w:rFonts w:cs="Times New Roman"/>
          <w:color w:val="auto"/>
          <w:sz w:val="22"/>
          <w:lang w:eastAsia="en-US"/>
        </w:rPr>
        <w:t xml:space="preserve">ourism and </w:t>
      </w:r>
      <w:r w:rsidR="00B97696">
        <w:rPr>
          <w:rFonts w:cs="Times New Roman"/>
          <w:color w:val="auto"/>
          <w:sz w:val="22"/>
          <w:lang w:eastAsia="en-US"/>
        </w:rPr>
        <w:t>H</w:t>
      </w:r>
      <w:r>
        <w:rPr>
          <w:rFonts w:cs="Times New Roman"/>
          <w:color w:val="auto"/>
          <w:sz w:val="22"/>
          <w:lang w:eastAsia="en-US"/>
        </w:rPr>
        <w:t xml:space="preserve">eritage </w:t>
      </w:r>
      <w:r w:rsidR="00B97696">
        <w:rPr>
          <w:rFonts w:cs="Times New Roman"/>
          <w:color w:val="auto"/>
          <w:sz w:val="22"/>
          <w:lang w:eastAsia="en-US"/>
        </w:rPr>
        <w:t>A</w:t>
      </w:r>
      <w:r>
        <w:rPr>
          <w:rFonts w:cs="Times New Roman"/>
          <w:color w:val="auto"/>
          <w:sz w:val="22"/>
          <w:lang w:eastAsia="en-US"/>
        </w:rPr>
        <w:t>ttractions</w:t>
      </w:r>
      <w:r>
        <w:rPr>
          <w:rFonts w:cs="Times New Roman"/>
          <w:color w:val="auto"/>
          <w:sz w:val="22"/>
          <w:u w:val="none"/>
          <w:lang w:eastAsia="en-US"/>
        </w:rPr>
        <w:t>, London &amp; New-York</w:t>
      </w:r>
      <w:r w:rsidR="005F31B8">
        <w:rPr>
          <w:rFonts w:cs="Times New Roman"/>
          <w:color w:val="auto"/>
          <w:sz w:val="22"/>
          <w:u w:val="none"/>
          <w:lang w:eastAsia="en-US"/>
        </w:rPr>
        <w:t>.</w:t>
      </w:r>
    </w:p>
    <w:p w:rsidR="002B29EB" w:rsidRDefault="002B29EB">
      <w:pPr>
        <w:bidi w:val="0"/>
      </w:pPr>
    </w:p>
    <w:p w:rsidR="002B29EB" w:rsidRDefault="002B29EB" w:rsidP="005F31B8">
      <w:pPr>
        <w:bidi w:val="0"/>
      </w:pPr>
      <w:r>
        <w:t xml:space="preserve">Robertson, K.A. (1995), ‘Downtown Redevelopment Strategies in the United States’, </w:t>
      </w:r>
      <w:r>
        <w:rPr>
          <w:i/>
          <w:iCs/>
        </w:rPr>
        <w:t>Journal of the American Planning Association</w:t>
      </w:r>
      <w:r>
        <w:t>, 61</w:t>
      </w:r>
      <w:r w:rsidR="005F31B8">
        <w:t>(</w:t>
      </w:r>
      <w:r>
        <w:t>4</w:t>
      </w:r>
      <w:r w:rsidR="005F31B8">
        <w:t>)</w:t>
      </w:r>
      <w:r>
        <w:t>, pp. 429-437.</w:t>
      </w:r>
    </w:p>
    <w:p w:rsidR="002B29EB" w:rsidRDefault="002B29EB">
      <w:pPr>
        <w:pStyle w:val="a3"/>
        <w:jc w:val="both"/>
        <w:rPr>
          <w:rFonts w:cs="Times New Roman"/>
          <w:sz w:val="22"/>
          <w:szCs w:val="24"/>
          <w:rtl/>
          <w:lang w:eastAsia="en-US"/>
        </w:rPr>
      </w:pPr>
    </w:p>
    <w:p w:rsidR="002B29EB" w:rsidRDefault="002B29EB">
      <w:pPr>
        <w:rPr>
          <w:rtl/>
        </w:rPr>
      </w:pPr>
    </w:p>
    <w:p w:rsidR="002B29EB" w:rsidRDefault="002B29EB" w:rsidP="005F31B8">
      <w:pPr>
        <w:rPr>
          <w:rtl/>
        </w:rPr>
      </w:pPr>
      <w:r>
        <w:rPr>
          <w:rFonts w:hint="cs"/>
          <w:rtl/>
        </w:rPr>
        <w:t>המועצה לשימור אתרים ואתרי התיישבות</w:t>
      </w:r>
      <w:r w:rsidR="005F31B8">
        <w:rPr>
          <w:rFonts w:hint="cs"/>
          <w:rtl/>
        </w:rPr>
        <w:t xml:space="preserve"> (1991)</w:t>
      </w:r>
      <w:r>
        <w:rPr>
          <w:rFonts w:hint="cs"/>
          <w:rtl/>
        </w:rPr>
        <w:t xml:space="preserve">, </w:t>
      </w:r>
      <w:r>
        <w:rPr>
          <w:rFonts w:hint="cs"/>
          <w:u w:val="single"/>
          <w:rtl/>
        </w:rPr>
        <w:t xml:space="preserve">שימור מבנים ואתרי התיישבות </w:t>
      </w:r>
      <w:r>
        <w:rPr>
          <w:u w:val="single"/>
          <w:rtl/>
        </w:rPr>
        <w:t>–</w:t>
      </w:r>
      <w:r>
        <w:rPr>
          <w:rFonts w:hint="cs"/>
          <w:u w:val="single"/>
          <w:rtl/>
        </w:rPr>
        <w:t xml:space="preserve"> </w:t>
      </w:r>
      <w:proofErr w:type="spellStart"/>
      <w:r>
        <w:rPr>
          <w:rFonts w:hint="cs"/>
          <w:u w:val="single"/>
          <w:rtl/>
        </w:rPr>
        <w:t>הבטים</w:t>
      </w:r>
      <w:proofErr w:type="spellEnd"/>
      <w:r>
        <w:rPr>
          <w:rFonts w:hint="cs"/>
          <w:u w:val="single"/>
          <w:rtl/>
        </w:rPr>
        <w:t xml:space="preserve"> ערכיים ומשפטיים</w:t>
      </w:r>
      <w:r>
        <w:rPr>
          <w:rFonts w:hint="cs"/>
          <w:rtl/>
        </w:rPr>
        <w:t>, חיפה</w:t>
      </w:r>
      <w:r w:rsidR="005F31B8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2B29EB" w:rsidRDefault="002B29EB">
      <w:pPr>
        <w:rPr>
          <w:rtl/>
        </w:rPr>
      </w:pPr>
    </w:p>
    <w:p w:rsidR="002B29EB" w:rsidRDefault="002B29EB">
      <w:pPr>
        <w:rPr>
          <w:rtl/>
        </w:rPr>
      </w:pPr>
      <w:r>
        <w:rPr>
          <w:rFonts w:hint="cs"/>
          <w:rtl/>
        </w:rPr>
        <w:t xml:space="preserve">חוק התכנון והבנייה, 1965, וכן </w:t>
      </w:r>
      <w:proofErr w:type="spellStart"/>
      <w:r>
        <w:rPr>
          <w:rFonts w:hint="cs"/>
          <w:rtl/>
        </w:rPr>
        <w:t>תקון</w:t>
      </w:r>
      <w:proofErr w:type="spellEnd"/>
      <w:r>
        <w:rPr>
          <w:rFonts w:hint="cs"/>
          <w:rtl/>
        </w:rPr>
        <w:t xml:space="preserve"> מס' 31 לחוק שימור אתרים 1991ף חוק שירותי תיירות, תשל"ו </w:t>
      </w:r>
      <w:r>
        <w:rPr>
          <w:rtl/>
        </w:rPr>
        <w:t>–</w:t>
      </w:r>
      <w:r>
        <w:rPr>
          <w:rFonts w:hint="cs"/>
          <w:rtl/>
        </w:rPr>
        <w:t>1976.</w:t>
      </w:r>
    </w:p>
    <w:p w:rsidR="002B29EB" w:rsidRDefault="002B29EB">
      <w:pPr>
        <w:rPr>
          <w:rtl/>
        </w:rPr>
      </w:pPr>
    </w:p>
    <w:p w:rsidR="002B29EB" w:rsidRDefault="002B29EB" w:rsidP="005F31B8">
      <w:pPr>
        <w:rPr>
          <w:rtl/>
        </w:rPr>
      </w:pPr>
      <w:r>
        <w:rPr>
          <w:rFonts w:hint="cs"/>
          <w:rtl/>
        </w:rPr>
        <w:t>טרנר, מ.</w:t>
      </w:r>
      <w:r w:rsidR="005F31B8">
        <w:rPr>
          <w:rFonts w:hint="cs"/>
          <w:rtl/>
        </w:rPr>
        <w:t xml:space="preserve"> (תשנ"ד)</w:t>
      </w:r>
      <w:r>
        <w:rPr>
          <w:rFonts w:hint="cs"/>
          <w:rtl/>
        </w:rPr>
        <w:t xml:space="preserve"> </w:t>
      </w:r>
      <w:r>
        <w:rPr>
          <w:rFonts w:hint="cs"/>
          <w:u w:val="single"/>
          <w:rtl/>
        </w:rPr>
        <w:t xml:space="preserve">מבוא לשימור </w:t>
      </w:r>
      <w:r>
        <w:rPr>
          <w:u w:val="single"/>
          <w:rtl/>
        </w:rPr>
        <w:t>–</w:t>
      </w:r>
      <w:r>
        <w:rPr>
          <w:rFonts w:hint="cs"/>
          <w:u w:val="single"/>
          <w:rtl/>
        </w:rPr>
        <w:t xml:space="preserve"> מקראה</w:t>
      </w:r>
      <w:r>
        <w:rPr>
          <w:rFonts w:hint="cs"/>
          <w:rtl/>
        </w:rPr>
        <w:t xml:space="preserve">, ירושלים. </w:t>
      </w:r>
    </w:p>
    <w:p w:rsidR="002B29EB" w:rsidRDefault="002B29EB">
      <w:pPr>
        <w:rPr>
          <w:rtl/>
        </w:rPr>
      </w:pPr>
    </w:p>
    <w:p w:rsidR="002B29EB" w:rsidRDefault="002B29EB" w:rsidP="005F31B8">
      <w:pPr>
        <w:rPr>
          <w:rtl/>
        </w:rPr>
      </w:pPr>
      <w:proofErr w:type="spellStart"/>
      <w:r>
        <w:rPr>
          <w:rFonts w:hint="cs"/>
          <w:rtl/>
        </w:rPr>
        <w:t>ליצ'פילד</w:t>
      </w:r>
      <w:proofErr w:type="spellEnd"/>
      <w:r>
        <w:rPr>
          <w:rFonts w:hint="cs"/>
          <w:rtl/>
        </w:rPr>
        <w:t xml:space="preserve">, נ., </w:t>
      </w:r>
      <w:proofErr w:type="spellStart"/>
      <w:r>
        <w:rPr>
          <w:rFonts w:hint="cs"/>
          <w:rtl/>
        </w:rPr>
        <w:t>ושבייד</w:t>
      </w:r>
      <w:proofErr w:type="spellEnd"/>
      <w:r>
        <w:rPr>
          <w:rFonts w:hint="cs"/>
          <w:rtl/>
        </w:rPr>
        <w:t>, י.</w:t>
      </w:r>
      <w:r w:rsidR="005F31B8">
        <w:rPr>
          <w:rFonts w:hint="cs"/>
          <w:rtl/>
        </w:rPr>
        <w:t xml:space="preserve"> (1986),</w:t>
      </w:r>
      <w:r>
        <w:rPr>
          <w:rFonts w:hint="cs"/>
          <w:rtl/>
        </w:rPr>
        <w:t xml:space="preserve"> </w:t>
      </w:r>
      <w:r>
        <w:rPr>
          <w:rFonts w:hint="cs"/>
          <w:u w:val="single"/>
          <w:rtl/>
        </w:rPr>
        <w:t>שימור מורשת הבינוי בישראל</w:t>
      </w:r>
      <w:r>
        <w:rPr>
          <w:rFonts w:hint="cs"/>
          <w:rtl/>
        </w:rPr>
        <w:t xml:space="preserve">, מכון ירושלים לחקר ישראל,22, ירושלים. </w:t>
      </w:r>
    </w:p>
    <w:p w:rsidR="002B29EB" w:rsidRDefault="002B29EB">
      <w:pPr>
        <w:rPr>
          <w:rtl/>
        </w:rPr>
      </w:pPr>
    </w:p>
    <w:p w:rsidR="002B29EB" w:rsidRDefault="005F31B8">
      <w:pPr>
        <w:pStyle w:val="2"/>
        <w:rPr>
          <w:rtl/>
        </w:rPr>
      </w:pPr>
      <w:r>
        <w:rPr>
          <w:rFonts w:hint="cs"/>
          <w:rtl/>
        </w:rPr>
        <w:t xml:space="preserve">2. </w:t>
      </w:r>
      <w:r w:rsidR="002B29EB">
        <w:rPr>
          <w:rFonts w:hint="cs"/>
          <w:rtl/>
        </w:rPr>
        <w:t>שימור ו</w:t>
      </w:r>
      <w:r>
        <w:rPr>
          <w:rFonts w:hint="cs"/>
          <w:rtl/>
        </w:rPr>
        <w:t xml:space="preserve">פיתוח </w:t>
      </w:r>
      <w:r w:rsidR="002B29EB">
        <w:rPr>
          <w:rFonts w:hint="cs"/>
          <w:rtl/>
        </w:rPr>
        <w:t xml:space="preserve">תיירות </w:t>
      </w:r>
      <w:r w:rsidR="002B29EB">
        <w:rPr>
          <w:rtl/>
        </w:rPr>
        <w:t>–</w:t>
      </w:r>
      <w:r w:rsidR="002B29EB">
        <w:rPr>
          <w:rFonts w:hint="cs"/>
          <w:rtl/>
        </w:rPr>
        <w:t xml:space="preserve"> ירושלים</w:t>
      </w:r>
    </w:p>
    <w:p w:rsidR="002B29EB" w:rsidRDefault="002B29EB">
      <w:pPr>
        <w:rPr>
          <w:u w:val="single"/>
          <w:rtl/>
        </w:rPr>
      </w:pPr>
    </w:p>
    <w:p w:rsidR="002B29EB" w:rsidRDefault="002B29EB" w:rsidP="00E34046">
      <w:pPr>
        <w:rPr>
          <w:rtl/>
        </w:rPr>
      </w:pPr>
      <w:r>
        <w:rPr>
          <w:rFonts w:hint="cs"/>
          <w:rtl/>
        </w:rPr>
        <w:t xml:space="preserve">אחימאיר, א. </w:t>
      </w:r>
      <w:r w:rsidR="00E34046">
        <w:rPr>
          <w:rFonts w:hint="cs"/>
          <w:rtl/>
        </w:rPr>
        <w:t xml:space="preserve">(1979), </w:t>
      </w:r>
      <w:r>
        <w:rPr>
          <w:rFonts w:hint="cs"/>
          <w:rtl/>
        </w:rPr>
        <w:t xml:space="preserve">(עורכת), </w:t>
      </w:r>
      <w:r w:rsidRPr="00E34046">
        <w:rPr>
          <w:rFonts w:hint="cs"/>
          <w:u w:val="single"/>
          <w:rtl/>
        </w:rPr>
        <w:t>שימור בירושלים</w:t>
      </w:r>
      <w:r>
        <w:rPr>
          <w:rFonts w:hint="cs"/>
          <w:rtl/>
        </w:rPr>
        <w:t>, ירושלים</w:t>
      </w:r>
      <w:r w:rsidR="00E34046">
        <w:rPr>
          <w:rFonts w:hint="cs"/>
          <w:rtl/>
        </w:rPr>
        <w:t>.</w:t>
      </w:r>
    </w:p>
    <w:p w:rsidR="002B29EB" w:rsidRDefault="002B29EB">
      <w:pPr>
        <w:rPr>
          <w:rtl/>
        </w:rPr>
      </w:pPr>
    </w:p>
    <w:p w:rsidR="002B29EB" w:rsidRDefault="002B29EB" w:rsidP="00E34046">
      <w:pPr>
        <w:rPr>
          <w:rtl/>
        </w:rPr>
      </w:pPr>
      <w:proofErr w:type="spellStart"/>
      <w:r>
        <w:rPr>
          <w:rFonts w:hint="cs"/>
          <w:rtl/>
        </w:rPr>
        <w:t>בוגוד</w:t>
      </w:r>
      <w:proofErr w:type="spellEnd"/>
      <w:r>
        <w:rPr>
          <w:rFonts w:hint="cs"/>
          <w:rtl/>
        </w:rPr>
        <w:t>, פ., ומלצר, נ.</w:t>
      </w:r>
      <w:r w:rsidR="00E34046">
        <w:rPr>
          <w:rFonts w:hint="cs"/>
          <w:rtl/>
        </w:rPr>
        <w:t>(1993)</w:t>
      </w:r>
      <w:r>
        <w:rPr>
          <w:rFonts w:hint="cs"/>
          <w:rtl/>
        </w:rPr>
        <w:t>, 'שימור הבניינים ההיסטוריים בכיכר העירייה', אריאל</w:t>
      </w:r>
      <w:r w:rsidR="00E34046">
        <w:rPr>
          <w:rFonts w:hint="cs"/>
          <w:rtl/>
        </w:rPr>
        <w:t xml:space="preserve"> (</w:t>
      </w:r>
      <w:r>
        <w:rPr>
          <w:rFonts w:hint="cs"/>
          <w:rtl/>
        </w:rPr>
        <w:t>9</w:t>
      </w:r>
      <w:r w:rsidR="00E34046">
        <w:rPr>
          <w:rFonts w:hint="cs"/>
          <w:rtl/>
        </w:rPr>
        <w:t>2</w:t>
      </w:r>
      <w:r>
        <w:rPr>
          <w:rFonts w:hint="cs"/>
          <w:rtl/>
        </w:rPr>
        <w:t>-9</w:t>
      </w:r>
      <w:r w:rsidR="00E34046">
        <w:rPr>
          <w:rFonts w:hint="cs"/>
          <w:rtl/>
        </w:rPr>
        <w:t>1)</w:t>
      </w:r>
      <w:r>
        <w:rPr>
          <w:rFonts w:hint="cs"/>
          <w:rtl/>
        </w:rPr>
        <w:t>, ירושלים</w:t>
      </w:r>
      <w:r w:rsidR="00E34046">
        <w:rPr>
          <w:rFonts w:hint="cs"/>
          <w:rtl/>
        </w:rPr>
        <w:t xml:space="preserve">, </w:t>
      </w:r>
      <w:r>
        <w:rPr>
          <w:rFonts w:hint="cs"/>
          <w:rtl/>
        </w:rPr>
        <w:t xml:space="preserve"> עמ' 91-93.</w:t>
      </w:r>
    </w:p>
    <w:p w:rsidR="002B29EB" w:rsidRDefault="002B29EB">
      <w:pPr>
        <w:rPr>
          <w:rtl/>
        </w:rPr>
      </w:pPr>
    </w:p>
    <w:p w:rsidR="002B29EB" w:rsidRDefault="002B29EB" w:rsidP="00E34046">
      <w:pPr>
        <w:rPr>
          <w:rtl/>
        </w:rPr>
      </w:pPr>
      <w:r>
        <w:rPr>
          <w:rFonts w:hint="cs"/>
          <w:rtl/>
        </w:rPr>
        <w:t xml:space="preserve">וינשל, ז., ופרידמן, ר. </w:t>
      </w:r>
      <w:r w:rsidR="00E34046">
        <w:rPr>
          <w:rFonts w:hint="cs"/>
          <w:rtl/>
        </w:rPr>
        <w:t xml:space="preserve">(1988), </w:t>
      </w:r>
      <w:r>
        <w:rPr>
          <w:rFonts w:hint="cs"/>
          <w:rtl/>
        </w:rPr>
        <w:t xml:space="preserve">(עורכות), ירושלים </w:t>
      </w:r>
      <w:r w:rsidRPr="00E34046">
        <w:rPr>
          <w:u w:val="single"/>
          <w:rtl/>
        </w:rPr>
        <w:t>–</w:t>
      </w:r>
      <w:r w:rsidRPr="00E34046">
        <w:rPr>
          <w:rFonts w:hint="cs"/>
          <w:u w:val="single"/>
          <w:rtl/>
        </w:rPr>
        <w:t xml:space="preserve"> תכנית פיתוח תיירות</w:t>
      </w:r>
      <w:r>
        <w:rPr>
          <w:rFonts w:hint="cs"/>
          <w:rtl/>
        </w:rPr>
        <w:t>, ירושלים</w:t>
      </w:r>
      <w:r w:rsidR="00E34046">
        <w:rPr>
          <w:rFonts w:hint="cs"/>
          <w:rtl/>
        </w:rPr>
        <w:t>.</w:t>
      </w:r>
    </w:p>
    <w:p w:rsidR="00E34046" w:rsidRDefault="00E34046">
      <w:pPr>
        <w:rPr>
          <w:rtl/>
        </w:rPr>
      </w:pPr>
    </w:p>
    <w:p w:rsidR="0022280F" w:rsidRDefault="00B97696" w:rsidP="00B97696">
      <w:pPr>
        <w:rPr>
          <w:rtl/>
        </w:rPr>
      </w:pPr>
      <w:r>
        <w:rPr>
          <w:rFonts w:hint="cs"/>
          <w:rtl/>
        </w:rPr>
        <w:t>*</w:t>
      </w:r>
      <w:r w:rsidR="0022280F">
        <w:rPr>
          <w:rFonts w:hint="cs"/>
          <w:rtl/>
        </w:rPr>
        <w:t xml:space="preserve">חושן, מ. חסון, ש. וקמחי, י(עורכים) (2004), </w:t>
      </w:r>
      <w:r w:rsidR="0022280F" w:rsidRPr="00B97696">
        <w:rPr>
          <w:rFonts w:hint="cs"/>
          <w:u w:val="single"/>
          <w:rtl/>
        </w:rPr>
        <w:t>ירושלים בת-קיימא: סוגיות בפיתוח ושימור</w:t>
      </w:r>
      <w:r w:rsidR="0022280F">
        <w:rPr>
          <w:rFonts w:hint="cs"/>
          <w:rtl/>
        </w:rPr>
        <w:t xml:space="preserve">, מכון ירושלים לחקר ישראל, ירושלים. </w:t>
      </w:r>
    </w:p>
    <w:p w:rsidR="0022280F" w:rsidRDefault="0022280F" w:rsidP="00E34046">
      <w:pPr>
        <w:rPr>
          <w:rtl/>
        </w:rPr>
      </w:pPr>
    </w:p>
    <w:tbl>
      <w:tblPr>
        <w:tblW w:w="0" w:type="auto"/>
        <w:jc w:val="righ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7387"/>
      </w:tblGrid>
      <w:tr w:rsidR="00200932" w:rsidTr="00200932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200932" w:rsidRDefault="00200932">
            <w:pPr>
              <w:bidi w:val="0"/>
            </w:pPr>
          </w:p>
        </w:tc>
        <w:tc>
          <w:tcPr>
            <w:tcW w:w="0" w:type="auto"/>
            <w:vAlign w:val="center"/>
            <w:hideMark/>
          </w:tcPr>
          <w:p w:rsidR="00200932" w:rsidRPr="00200932" w:rsidRDefault="00200932" w:rsidP="00200932">
            <w:pPr>
              <w:pStyle w:val="2"/>
              <w:rPr>
                <w:u w:val="none"/>
              </w:rPr>
            </w:pPr>
            <w:r w:rsidRPr="00200932">
              <w:rPr>
                <w:u w:val="none"/>
                <w:rtl/>
              </w:rPr>
              <w:t>טרנר, מיכא</w:t>
            </w:r>
            <w:r w:rsidRPr="00200932">
              <w:rPr>
                <w:rFonts w:hint="cs"/>
                <w:u w:val="none"/>
                <w:rtl/>
              </w:rPr>
              <w:t xml:space="preserve">ל (1986), </w:t>
            </w:r>
            <w:r w:rsidRPr="00200932">
              <w:rPr>
                <w:u w:val="none"/>
              </w:rPr>
              <w:t xml:space="preserve"> </w:t>
            </w:r>
            <w:hyperlink r:id="rId8" w:anchor="123.1061.2.fitwidth" w:history="1">
              <w:r>
                <w:rPr>
                  <w:rFonts w:hint="cs"/>
                  <w:u w:val="none"/>
                  <w:rtl/>
                </w:rPr>
                <w:t>'</w:t>
              </w:r>
              <w:r w:rsidRPr="00200932">
                <w:rPr>
                  <w:u w:val="none"/>
                  <w:rtl/>
                </w:rPr>
                <w:t>שיקום ושימור העיר העתיקה</w:t>
              </w:r>
              <w:r>
                <w:rPr>
                  <w:rFonts w:hint="cs"/>
                  <w:u w:val="none"/>
                  <w:rtl/>
                </w:rPr>
                <w:t>'</w:t>
              </w:r>
              <w:r w:rsidRPr="00200932">
                <w:rPr>
                  <w:rFonts w:hint="cs"/>
                  <w:u w:val="none"/>
                  <w:rtl/>
                </w:rPr>
                <w:t xml:space="preserve">, </w:t>
              </w:r>
            </w:hyperlink>
            <w:r w:rsidRPr="00200932">
              <w:rPr>
                <w:u w:val="none"/>
                <w:rtl/>
              </w:rPr>
              <w:t>אריאל</w:t>
            </w:r>
            <w:r w:rsidRPr="00200932">
              <w:rPr>
                <w:u w:val="none"/>
              </w:rPr>
              <w:t xml:space="preserve"> , </w:t>
            </w:r>
            <w:r w:rsidRPr="00200932">
              <w:rPr>
                <w:u w:val="none"/>
                <w:rtl/>
              </w:rPr>
              <w:t>ח' (44-45)</w:t>
            </w:r>
            <w:r w:rsidRPr="00200932">
              <w:rPr>
                <w:rFonts w:hint="cs"/>
                <w:u w:val="none"/>
                <w:rtl/>
              </w:rPr>
              <w:t>, עמ'</w:t>
            </w:r>
            <w:r w:rsidRPr="00200932">
              <w:rPr>
                <w:u w:val="none"/>
                <w:rtl/>
              </w:rPr>
              <w:t xml:space="preserve"> 1</w:t>
            </w:r>
            <w:r w:rsidRPr="00200932">
              <w:rPr>
                <w:rFonts w:hint="cs"/>
                <w:u w:val="none"/>
                <w:rtl/>
              </w:rPr>
              <w:t>32</w:t>
            </w:r>
            <w:r w:rsidRPr="00200932">
              <w:rPr>
                <w:u w:val="none"/>
                <w:rtl/>
              </w:rPr>
              <w:t>-1</w:t>
            </w:r>
            <w:r w:rsidRPr="00200932">
              <w:rPr>
                <w:rFonts w:hint="cs"/>
                <w:u w:val="none"/>
                <w:rtl/>
              </w:rPr>
              <w:t>21.</w:t>
            </w:r>
          </w:p>
        </w:tc>
      </w:tr>
    </w:tbl>
    <w:p w:rsidR="00200932" w:rsidRDefault="00200932" w:rsidP="00E34046">
      <w:pPr>
        <w:rPr>
          <w:rtl/>
        </w:rPr>
      </w:pPr>
    </w:p>
    <w:p w:rsidR="005F31B8" w:rsidRDefault="005F31B8" w:rsidP="00E34046">
      <w:pPr>
        <w:rPr>
          <w:rtl/>
        </w:rPr>
      </w:pPr>
      <w:r w:rsidRPr="00E34046">
        <w:rPr>
          <w:rtl/>
        </w:rPr>
        <w:t>ישראלי, י</w:t>
      </w:r>
      <w:r w:rsidRPr="00E34046">
        <w:rPr>
          <w:rFonts w:hint="cs"/>
          <w:rtl/>
        </w:rPr>
        <w:t>.</w:t>
      </w:r>
      <w:r w:rsidR="00BD366D">
        <w:rPr>
          <w:rFonts w:hint="cs"/>
          <w:rtl/>
        </w:rPr>
        <w:t xml:space="preserve"> </w:t>
      </w:r>
      <w:proofErr w:type="spellStart"/>
      <w:r w:rsidR="00BD366D">
        <w:rPr>
          <w:rFonts w:hint="cs"/>
          <w:rtl/>
        </w:rPr>
        <w:t>ומנספלד</w:t>
      </w:r>
      <w:proofErr w:type="spellEnd"/>
      <w:r w:rsidR="00BD366D">
        <w:rPr>
          <w:rFonts w:hint="cs"/>
          <w:rtl/>
        </w:rPr>
        <w:t>, י</w:t>
      </w:r>
      <w:r w:rsidRPr="00E34046">
        <w:rPr>
          <w:rFonts w:hint="cs"/>
          <w:rtl/>
        </w:rPr>
        <w:t xml:space="preserve"> (2005), '</w:t>
      </w:r>
      <w:r w:rsidRPr="00E34046">
        <w:rPr>
          <w:rtl/>
        </w:rPr>
        <w:t>נגישות תחבורתית לאתרי תיירות במתחם העיר העתיקה של ירושלים</w:t>
      </w:r>
      <w:r w:rsidR="00E34046">
        <w:rPr>
          <w:rFonts w:hint="cs"/>
          <w:rtl/>
        </w:rPr>
        <w:t>',</w:t>
      </w:r>
      <w:r w:rsidRPr="00E34046">
        <w:rPr>
          <w:rtl/>
        </w:rPr>
        <w:t xml:space="preserve"> אופקים בגיאוגרפיה</w:t>
      </w:r>
      <w:r w:rsidRPr="00E34046">
        <w:rPr>
          <w:rFonts w:hint="cs"/>
          <w:rtl/>
        </w:rPr>
        <w:t xml:space="preserve"> (65-64), עמ' 522-505. </w:t>
      </w:r>
    </w:p>
    <w:p w:rsidR="005F31B8" w:rsidRDefault="005F31B8">
      <w:pPr>
        <w:rPr>
          <w:rtl/>
        </w:rPr>
      </w:pPr>
    </w:p>
    <w:p w:rsidR="00BD366D" w:rsidRDefault="00BD366D" w:rsidP="00CE6842">
      <w:pPr>
        <w:rPr>
          <w:rtl/>
        </w:rPr>
      </w:pPr>
      <w:r>
        <w:rPr>
          <w:rFonts w:hint="cs"/>
          <w:rtl/>
        </w:rPr>
        <w:t xml:space="preserve">כהן-הטב, ק. </w:t>
      </w:r>
      <w:r w:rsidR="00CE6842">
        <w:rPr>
          <w:rFonts w:hint="cs"/>
          <w:rtl/>
        </w:rPr>
        <w:t xml:space="preserve">(2006), </w:t>
      </w:r>
      <w:r w:rsidRPr="00BD366D">
        <w:rPr>
          <w:rFonts w:hint="cs"/>
          <w:u w:val="single"/>
          <w:rtl/>
        </w:rPr>
        <w:t>לתור את הארץ: התיירות בארץ-ישראל בתקופת המנדט הבריטי</w:t>
      </w:r>
      <w:r>
        <w:rPr>
          <w:rFonts w:hint="cs"/>
          <w:rtl/>
        </w:rPr>
        <w:t>, ירושלים</w:t>
      </w:r>
      <w:r w:rsidR="00CE6842">
        <w:rPr>
          <w:rFonts w:hint="cs"/>
          <w:rtl/>
        </w:rPr>
        <w:t xml:space="preserve">, </w:t>
      </w:r>
      <w:r>
        <w:rPr>
          <w:rFonts w:hint="cs"/>
          <w:rtl/>
        </w:rPr>
        <w:t xml:space="preserve">עמ' </w:t>
      </w:r>
    </w:p>
    <w:p w:rsidR="00BD366D" w:rsidRDefault="00BD366D" w:rsidP="00E34046">
      <w:pPr>
        <w:rPr>
          <w:rtl/>
        </w:rPr>
      </w:pPr>
      <w:r>
        <w:rPr>
          <w:rFonts w:hint="cs"/>
          <w:rtl/>
        </w:rPr>
        <w:t>131-91.</w:t>
      </w:r>
    </w:p>
    <w:p w:rsidR="00BD366D" w:rsidRDefault="00BD366D" w:rsidP="00E34046">
      <w:pPr>
        <w:rPr>
          <w:rtl/>
        </w:rPr>
      </w:pPr>
    </w:p>
    <w:p w:rsidR="00960B96" w:rsidRPr="00DC6A99" w:rsidRDefault="00960B96" w:rsidP="00960B96">
      <w:pPr>
        <w:ind w:left="30" w:right="30"/>
        <w:jc w:val="both"/>
        <w:rPr>
          <w:rFonts w:cs="David"/>
          <w:lang w:eastAsia="en-GB"/>
        </w:rPr>
      </w:pPr>
      <w:r w:rsidRPr="00960B96">
        <w:rPr>
          <w:rFonts w:hint="cs"/>
          <w:rtl/>
        </w:rPr>
        <w:t xml:space="preserve">כהן-הטב, ק. (2010),  'תיירות וצליינות </w:t>
      </w:r>
      <w:r w:rsidRPr="00960B96">
        <w:rPr>
          <w:rtl/>
        </w:rPr>
        <w:t>–</w:t>
      </w:r>
      <w:r w:rsidRPr="00960B96">
        <w:rPr>
          <w:rFonts w:hint="cs"/>
          <w:rtl/>
        </w:rPr>
        <w:t xml:space="preserve"> ארגון ותשתיות', בתוך: ח. גורן וי. ברטל (עורכים), </w:t>
      </w:r>
      <w:r w:rsidRPr="00960B96">
        <w:rPr>
          <w:rFonts w:hint="cs"/>
          <w:u w:val="single"/>
          <w:rtl/>
        </w:rPr>
        <w:t xml:space="preserve">ההיסטוריה של ירושלים </w:t>
      </w:r>
      <w:r w:rsidRPr="00960B96">
        <w:rPr>
          <w:u w:val="single"/>
          <w:rtl/>
        </w:rPr>
        <w:t>–</w:t>
      </w:r>
      <w:r w:rsidRPr="00960B96">
        <w:rPr>
          <w:rFonts w:hint="cs"/>
          <w:u w:val="single"/>
          <w:rtl/>
        </w:rPr>
        <w:t xml:space="preserve"> שלהי התקופה העות'מאנית</w:t>
      </w:r>
      <w:r w:rsidRPr="00960B96">
        <w:rPr>
          <w:rFonts w:hint="cs"/>
          <w:rtl/>
        </w:rPr>
        <w:t>, ירושלים: יד יצחק בן-צבי, עמ' 210-197.</w:t>
      </w:r>
      <w:r w:rsidRPr="00DC6A99">
        <w:rPr>
          <w:rFonts w:cs="David" w:hint="cs"/>
          <w:rtl/>
        </w:rPr>
        <w:t xml:space="preserve"> </w:t>
      </w:r>
    </w:p>
    <w:p w:rsidR="00960B96" w:rsidRDefault="00960B96" w:rsidP="00E34046">
      <w:pPr>
        <w:rPr>
          <w:rtl/>
        </w:rPr>
      </w:pPr>
    </w:p>
    <w:p w:rsidR="00E45E0D" w:rsidRDefault="00E45E0D" w:rsidP="00E34046">
      <w:pPr>
        <w:rPr>
          <w:rtl/>
        </w:rPr>
      </w:pPr>
      <w:r w:rsidRPr="00E45E0D">
        <w:rPr>
          <w:rFonts w:hint="cs"/>
          <w:rtl/>
        </w:rPr>
        <w:t>כהן-הטב, ק. (2010), קדושה, לאומיות ותיירות: עיצוב רחבת הכותל המערבי בירושלים לאחר מלחמת ששת הימים', אופקים בגיאוגרפיה, 75, עמ' 39-26.</w:t>
      </w:r>
      <w:r>
        <w:rPr>
          <w:rFonts w:cs="David" w:hint="cs"/>
          <w:rtl/>
        </w:rPr>
        <w:t xml:space="preserve"> </w:t>
      </w:r>
    </w:p>
    <w:p w:rsidR="00E45E0D" w:rsidRDefault="00E45E0D" w:rsidP="00E34046">
      <w:pPr>
        <w:rPr>
          <w:rtl/>
        </w:rPr>
      </w:pPr>
    </w:p>
    <w:p w:rsidR="002B29EB" w:rsidRDefault="002B29EB" w:rsidP="00E34046">
      <w:pPr>
        <w:rPr>
          <w:rtl/>
        </w:rPr>
      </w:pPr>
      <w:r>
        <w:rPr>
          <w:rFonts w:hint="cs"/>
          <w:rtl/>
        </w:rPr>
        <w:t xml:space="preserve">עיריית ירושלים, </w:t>
      </w:r>
      <w:r w:rsidR="00E34046">
        <w:rPr>
          <w:rFonts w:hint="cs"/>
          <w:rtl/>
        </w:rPr>
        <w:t xml:space="preserve">(1988), </w:t>
      </w:r>
      <w:r>
        <w:rPr>
          <w:rFonts w:hint="cs"/>
          <w:rtl/>
        </w:rPr>
        <w:t xml:space="preserve">תכנון </w:t>
      </w:r>
      <w:r w:rsidRPr="00E34046">
        <w:rPr>
          <w:rFonts w:hint="cs"/>
          <w:u w:val="single"/>
          <w:rtl/>
        </w:rPr>
        <w:t xml:space="preserve">העיר הפנימית </w:t>
      </w:r>
      <w:r w:rsidRPr="00E34046">
        <w:rPr>
          <w:u w:val="single"/>
          <w:rtl/>
        </w:rPr>
        <w:t>–</w:t>
      </w:r>
      <w:r w:rsidRPr="00E34046">
        <w:rPr>
          <w:rFonts w:hint="cs"/>
          <w:u w:val="single"/>
          <w:rtl/>
        </w:rPr>
        <w:t xml:space="preserve"> החייאת שכונות המגורים </w:t>
      </w:r>
      <w:r w:rsidR="00E34046" w:rsidRPr="00E34046">
        <w:rPr>
          <w:rFonts w:hint="cs"/>
          <w:u w:val="single"/>
          <w:rtl/>
        </w:rPr>
        <w:t>ההיסטוריו</w:t>
      </w:r>
      <w:r w:rsidR="00E34046" w:rsidRPr="00E34046">
        <w:rPr>
          <w:rFonts w:hint="eastAsia"/>
          <w:u w:val="single"/>
          <w:rtl/>
        </w:rPr>
        <w:t>ת</w:t>
      </w:r>
      <w:r w:rsidRPr="00E34046">
        <w:rPr>
          <w:rFonts w:hint="cs"/>
          <w:u w:val="single"/>
          <w:rtl/>
        </w:rPr>
        <w:t xml:space="preserve"> במרכז ירושלים</w:t>
      </w:r>
      <w:r>
        <w:rPr>
          <w:rFonts w:hint="cs"/>
          <w:rtl/>
        </w:rPr>
        <w:t>, ירושלים</w:t>
      </w:r>
      <w:r w:rsidR="00E34046">
        <w:rPr>
          <w:rFonts w:hint="cs"/>
          <w:rtl/>
        </w:rPr>
        <w:t>.</w:t>
      </w:r>
    </w:p>
    <w:p w:rsidR="002B29EB" w:rsidRDefault="002B29EB">
      <w:pPr>
        <w:rPr>
          <w:rtl/>
        </w:rPr>
      </w:pPr>
    </w:p>
    <w:p w:rsidR="002B29EB" w:rsidRDefault="002B29EB" w:rsidP="00E34046">
      <w:pPr>
        <w:rPr>
          <w:rtl/>
        </w:rPr>
      </w:pPr>
      <w:proofErr w:type="spellStart"/>
      <w:r>
        <w:rPr>
          <w:rFonts w:hint="cs"/>
          <w:rtl/>
        </w:rPr>
        <w:t>פיקר</w:t>
      </w:r>
      <w:proofErr w:type="spellEnd"/>
      <w:r>
        <w:rPr>
          <w:rFonts w:hint="cs"/>
          <w:rtl/>
        </w:rPr>
        <w:t>, ד., וקרויאנקר, ד.</w:t>
      </w:r>
      <w:r w:rsidR="00E34046">
        <w:rPr>
          <w:rFonts w:hint="cs"/>
          <w:rtl/>
        </w:rPr>
        <w:t>(1995)</w:t>
      </w:r>
      <w:r>
        <w:rPr>
          <w:rFonts w:hint="cs"/>
          <w:rtl/>
        </w:rPr>
        <w:t xml:space="preserve">, </w:t>
      </w:r>
      <w:r w:rsidRPr="00E34046">
        <w:rPr>
          <w:rFonts w:hint="cs"/>
          <w:u w:val="single"/>
          <w:rtl/>
        </w:rPr>
        <w:t xml:space="preserve">תכנית להסבת מבנים היסטוריים לבתי מלון </w:t>
      </w:r>
      <w:r w:rsidRPr="00E34046">
        <w:rPr>
          <w:u w:val="single"/>
          <w:rtl/>
        </w:rPr>
        <w:t>–</w:t>
      </w:r>
      <w:r w:rsidRPr="00E34046">
        <w:rPr>
          <w:rFonts w:hint="cs"/>
          <w:u w:val="single"/>
          <w:rtl/>
        </w:rPr>
        <w:t xml:space="preserve"> שימור, שיקום ובנייה מחדש</w:t>
      </w:r>
      <w:r>
        <w:rPr>
          <w:rFonts w:hint="cs"/>
          <w:rtl/>
        </w:rPr>
        <w:t xml:space="preserve">, ירושלים.  </w:t>
      </w:r>
    </w:p>
    <w:p w:rsidR="002B29EB" w:rsidRDefault="002B29EB">
      <w:pPr>
        <w:rPr>
          <w:rtl/>
        </w:rPr>
      </w:pPr>
    </w:p>
    <w:p w:rsidR="002B29EB" w:rsidRDefault="002B29EB" w:rsidP="00E34046">
      <w:pPr>
        <w:rPr>
          <w:rtl/>
        </w:rPr>
      </w:pPr>
      <w:r>
        <w:rPr>
          <w:rFonts w:hint="cs"/>
          <w:rtl/>
        </w:rPr>
        <w:t>קרויאנקר, ד.</w:t>
      </w:r>
      <w:r w:rsidR="00E34046">
        <w:rPr>
          <w:rFonts w:hint="cs"/>
          <w:rtl/>
        </w:rPr>
        <w:t>(1987)</w:t>
      </w:r>
      <w:r>
        <w:rPr>
          <w:rFonts w:hint="cs"/>
          <w:rtl/>
        </w:rPr>
        <w:t xml:space="preserve">, </w:t>
      </w:r>
      <w:r w:rsidRPr="00B97696">
        <w:rPr>
          <w:rFonts w:hint="cs"/>
          <w:u w:val="single"/>
          <w:rtl/>
        </w:rPr>
        <w:t xml:space="preserve">אדריכלות בירושלים </w:t>
      </w:r>
      <w:r w:rsidRPr="00B97696">
        <w:rPr>
          <w:u w:val="single"/>
          <w:rtl/>
        </w:rPr>
        <w:t>–</w:t>
      </w:r>
      <w:r w:rsidRPr="00B97696">
        <w:rPr>
          <w:rFonts w:hint="cs"/>
          <w:u w:val="single"/>
          <w:rtl/>
        </w:rPr>
        <w:t xml:space="preserve"> שכונות ובנייני ציבור יהודיים</w:t>
      </w:r>
      <w:r>
        <w:rPr>
          <w:rFonts w:hint="cs"/>
          <w:rtl/>
        </w:rPr>
        <w:t>, ירושלים.</w:t>
      </w:r>
    </w:p>
    <w:p w:rsidR="002B29EB" w:rsidRDefault="002B29EB">
      <w:pPr>
        <w:rPr>
          <w:rtl/>
        </w:rPr>
      </w:pPr>
    </w:p>
    <w:p w:rsidR="00E34046" w:rsidRDefault="00B97696" w:rsidP="00E34046">
      <w:pPr>
        <w:rPr>
          <w:rtl/>
        </w:rPr>
      </w:pPr>
      <w:r>
        <w:rPr>
          <w:rFonts w:hint="cs"/>
          <w:rtl/>
        </w:rPr>
        <w:t>*</w:t>
      </w:r>
      <w:r w:rsidR="002B29EB">
        <w:rPr>
          <w:rFonts w:hint="cs"/>
          <w:rtl/>
        </w:rPr>
        <w:t>קרויאנקר, ד.</w:t>
      </w:r>
      <w:r w:rsidR="00E34046">
        <w:rPr>
          <w:rFonts w:hint="cs"/>
          <w:rtl/>
        </w:rPr>
        <w:t xml:space="preserve"> (1988)</w:t>
      </w:r>
      <w:r w:rsidR="002B29EB">
        <w:rPr>
          <w:rFonts w:hint="cs"/>
          <w:rtl/>
        </w:rPr>
        <w:t xml:space="preserve">, </w:t>
      </w:r>
      <w:r w:rsidR="002B29EB" w:rsidRPr="00B97696">
        <w:rPr>
          <w:rFonts w:hint="cs"/>
          <w:u w:val="single"/>
          <w:rtl/>
        </w:rPr>
        <w:t xml:space="preserve">ירושלים </w:t>
      </w:r>
      <w:r w:rsidR="002B29EB" w:rsidRPr="00B97696">
        <w:rPr>
          <w:u w:val="single"/>
          <w:rtl/>
        </w:rPr>
        <w:t>–</w:t>
      </w:r>
      <w:r w:rsidR="002B29EB" w:rsidRPr="00B97696">
        <w:rPr>
          <w:rFonts w:hint="cs"/>
          <w:u w:val="single"/>
          <w:rtl/>
        </w:rPr>
        <w:t xml:space="preserve"> המאבק על מבנה העיר וחזותה</w:t>
      </w:r>
      <w:r w:rsidR="002B29EB">
        <w:rPr>
          <w:rFonts w:hint="cs"/>
          <w:rtl/>
        </w:rPr>
        <w:t>, ירושלים.</w:t>
      </w:r>
    </w:p>
    <w:p w:rsidR="00BD366D" w:rsidRDefault="00BD366D" w:rsidP="00E34046">
      <w:pPr>
        <w:rPr>
          <w:rtl/>
        </w:rPr>
      </w:pPr>
    </w:p>
    <w:p w:rsidR="00E34046" w:rsidRDefault="00E34046" w:rsidP="00E34046">
      <w:pPr>
        <w:rPr>
          <w:rtl/>
        </w:rPr>
      </w:pPr>
      <w:r>
        <w:rPr>
          <w:rFonts w:hint="cs"/>
          <w:rtl/>
        </w:rPr>
        <w:t>קרויאנקר, ד.</w:t>
      </w:r>
      <w:r w:rsidRPr="00E34046">
        <w:rPr>
          <w:rFonts w:ascii="Arial" w:hAnsi="Arial" w:cs="Arial"/>
          <w:color w:val="212063"/>
          <w:sz w:val="19"/>
          <w:szCs w:val="19"/>
          <w:rtl/>
          <w:lang w:eastAsia="en-US"/>
        </w:rPr>
        <w:t xml:space="preserve"> </w:t>
      </w:r>
      <w:r>
        <w:rPr>
          <w:rFonts w:hint="cs"/>
          <w:rtl/>
        </w:rPr>
        <w:t>(תשמ"א), '</w:t>
      </w:r>
      <w:r w:rsidRPr="00E34046">
        <w:rPr>
          <w:rtl/>
        </w:rPr>
        <w:t>שימור ירושלים 19</w:t>
      </w:r>
      <w:r>
        <w:rPr>
          <w:rFonts w:hint="cs"/>
          <w:rtl/>
        </w:rPr>
        <w:t>80</w:t>
      </w:r>
      <w:r w:rsidRPr="00E34046">
        <w:rPr>
          <w:rtl/>
        </w:rPr>
        <w:t>-19</w:t>
      </w:r>
      <w:r>
        <w:rPr>
          <w:rFonts w:hint="cs"/>
          <w:rtl/>
        </w:rPr>
        <w:t xml:space="preserve">67', </w:t>
      </w:r>
      <w:r w:rsidRPr="00E34046">
        <w:rPr>
          <w:u w:val="single"/>
          <w:rtl/>
        </w:rPr>
        <w:t>פרקים בתולדות ירושלים בזמן החדש</w:t>
      </w:r>
      <w:r>
        <w:rPr>
          <w:rFonts w:hint="cs"/>
          <w:rtl/>
        </w:rPr>
        <w:t xml:space="preserve">, </w:t>
      </w:r>
      <w:r w:rsidRPr="00E34046">
        <w:rPr>
          <w:rtl/>
        </w:rPr>
        <w:t>ירושלים, 4</w:t>
      </w:r>
      <w:r>
        <w:rPr>
          <w:rFonts w:hint="cs"/>
          <w:rtl/>
        </w:rPr>
        <w:t>54</w:t>
      </w:r>
      <w:r w:rsidRPr="00E34046">
        <w:rPr>
          <w:rtl/>
        </w:rPr>
        <w:t>-4</w:t>
      </w:r>
      <w:r>
        <w:rPr>
          <w:rFonts w:hint="cs"/>
          <w:rtl/>
        </w:rPr>
        <w:t>18</w:t>
      </w:r>
      <w:r w:rsidR="002D79C9">
        <w:rPr>
          <w:rFonts w:hint="cs"/>
          <w:rtl/>
        </w:rPr>
        <w:t>.</w:t>
      </w:r>
    </w:p>
    <w:p w:rsidR="002D79C9" w:rsidRDefault="002D79C9" w:rsidP="00E34046">
      <w:pPr>
        <w:rPr>
          <w:rtl/>
        </w:rPr>
      </w:pPr>
    </w:p>
    <w:p w:rsidR="00CE6842" w:rsidRPr="00CE6842" w:rsidRDefault="00CE6842" w:rsidP="00CE6842">
      <w:pPr>
        <w:pStyle w:val="2"/>
        <w:rPr>
          <w:u w:val="none"/>
          <w:rtl/>
        </w:rPr>
      </w:pPr>
      <w:r w:rsidRPr="00CE6842">
        <w:rPr>
          <w:u w:val="none"/>
          <w:rtl/>
        </w:rPr>
        <w:t>קריב, א</w:t>
      </w:r>
      <w:r w:rsidRPr="00CE6842">
        <w:rPr>
          <w:rFonts w:hint="cs"/>
          <w:u w:val="none"/>
          <w:rtl/>
        </w:rPr>
        <w:t>. ו</w:t>
      </w:r>
      <w:r w:rsidRPr="00CE6842">
        <w:rPr>
          <w:u w:val="none"/>
          <w:rtl/>
        </w:rPr>
        <w:t>אברמוביץ, ה</w:t>
      </w:r>
      <w:r w:rsidRPr="00CE6842">
        <w:rPr>
          <w:rFonts w:hint="cs"/>
          <w:u w:val="none"/>
          <w:rtl/>
        </w:rPr>
        <w:t>.(2010),</w:t>
      </w:r>
      <w:r w:rsidRPr="00CE6842">
        <w:rPr>
          <w:u w:val="none"/>
          <w:rtl/>
        </w:rPr>
        <w:t xml:space="preserve"> </w:t>
      </w:r>
      <w:r w:rsidRPr="00CE6842">
        <w:rPr>
          <w:rFonts w:hint="cs"/>
          <w:u w:val="none"/>
          <w:rtl/>
        </w:rPr>
        <w:t>'</w:t>
      </w:r>
      <w:r w:rsidRPr="00CE6842">
        <w:rPr>
          <w:u w:val="none"/>
          <w:rtl/>
        </w:rPr>
        <w:t>לאן נעלמה הקשת: תולדות בית כנסת החורבה</w:t>
      </w:r>
      <w:r w:rsidRPr="00CE6842">
        <w:rPr>
          <w:rFonts w:hint="cs"/>
          <w:u w:val="none"/>
          <w:rtl/>
        </w:rPr>
        <w:t xml:space="preserve">', </w:t>
      </w:r>
      <w:r w:rsidRPr="00CE6842">
        <w:rPr>
          <w:rStyle w:val="exlresultdetails"/>
          <w:u w:val="none"/>
          <w:rtl/>
        </w:rPr>
        <w:t>אדריכלות ישראלית</w:t>
      </w:r>
      <w:r>
        <w:rPr>
          <w:rStyle w:val="exlresultdetails"/>
          <w:rFonts w:hint="cs"/>
          <w:u w:val="none"/>
          <w:rtl/>
        </w:rPr>
        <w:t xml:space="preserve">, </w:t>
      </w:r>
      <w:r w:rsidRPr="00CE6842">
        <w:rPr>
          <w:rStyle w:val="exlresultdetails"/>
          <w:rFonts w:hint="cs"/>
          <w:u w:val="none"/>
          <w:rtl/>
        </w:rPr>
        <w:t>8</w:t>
      </w:r>
      <w:r w:rsidRPr="00CE6842">
        <w:rPr>
          <w:rStyle w:val="exlresultdetails"/>
          <w:u w:val="none"/>
          <w:rtl/>
        </w:rPr>
        <w:t>3</w:t>
      </w:r>
      <w:r>
        <w:rPr>
          <w:rStyle w:val="exlresultdetails"/>
          <w:rFonts w:hint="cs"/>
          <w:u w:val="none"/>
          <w:rtl/>
        </w:rPr>
        <w:t>,</w:t>
      </w:r>
      <w:r w:rsidRPr="00CE6842">
        <w:rPr>
          <w:rStyle w:val="exlresultdetails"/>
          <w:u w:val="none"/>
        </w:rPr>
        <w:t xml:space="preserve"> </w:t>
      </w:r>
      <w:r w:rsidRPr="002D79C9">
        <w:rPr>
          <w:rFonts w:hint="cs"/>
          <w:u w:val="none"/>
          <w:rtl/>
        </w:rPr>
        <w:t>עמ'</w:t>
      </w:r>
      <w:r w:rsidRPr="00CE6842">
        <w:rPr>
          <w:rStyle w:val="exlresultdetails"/>
          <w:u w:val="none"/>
        </w:rPr>
        <w:t xml:space="preserve"> </w:t>
      </w:r>
      <w:r>
        <w:rPr>
          <w:rStyle w:val="exlresultdetails"/>
          <w:u w:val="none"/>
        </w:rPr>
        <w:t>.93</w:t>
      </w:r>
      <w:r w:rsidRPr="00CE6842">
        <w:rPr>
          <w:rStyle w:val="exlresultdetails"/>
          <w:u w:val="none"/>
        </w:rPr>
        <w:t>-</w:t>
      </w:r>
      <w:r>
        <w:rPr>
          <w:rStyle w:val="exlresultdetails"/>
          <w:u w:val="none"/>
        </w:rPr>
        <w:t>82</w:t>
      </w:r>
    </w:p>
    <w:p w:rsidR="00CE6842" w:rsidRDefault="00CE6842" w:rsidP="002D79C9">
      <w:pPr>
        <w:pStyle w:val="3"/>
        <w:jc w:val="left"/>
        <w:rPr>
          <w:rFonts w:cs="Times New Roman"/>
          <w:color w:val="auto"/>
          <w:sz w:val="24"/>
          <w:u w:val="none"/>
          <w:rtl/>
        </w:rPr>
      </w:pPr>
    </w:p>
    <w:p w:rsidR="002D79C9" w:rsidRDefault="002D79C9" w:rsidP="002D79C9">
      <w:pPr>
        <w:pStyle w:val="3"/>
        <w:jc w:val="left"/>
        <w:rPr>
          <w:rFonts w:cs="Times New Roman"/>
          <w:color w:val="auto"/>
          <w:sz w:val="24"/>
          <w:u w:val="none"/>
          <w:rtl/>
        </w:rPr>
      </w:pPr>
      <w:r w:rsidRPr="002D79C9">
        <w:rPr>
          <w:rFonts w:cs="Times New Roman"/>
          <w:color w:val="auto"/>
          <w:sz w:val="24"/>
          <w:u w:val="none"/>
          <w:rtl/>
        </w:rPr>
        <w:t>שילר, אלי</w:t>
      </w:r>
      <w:r w:rsidRPr="002D79C9">
        <w:rPr>
          <w:rFonts w:cs="Times New Roman" w:hint="cs"/>
          <w:color w:val="auto"/>
          <w:sz w:val="24"/>
          <w:u w:val="none"/>
          <w:rtl/>
        </w:rPr>
        <w:t xml:space="preserve"> (1982), </w:t>
      </w:r>
      <w:r>
        <w:rPr>
          <w:rFonts w:cs="Times New Roman" w:hint="cs"/>
          <w:color w:val="auto"/>
          <w:sz w:val="24"/>
          <w:u w:val="none"/>
          <w:rtl/>
        </w:rPr>
        <w:t>'</w:t>
      </w:r>
      <w:r w:rsidRPr="002D79C9">
        <w:rPr>
          <w:rFonts w:cs="Times New Roman"/>
          <w:color w:val="auto"/>
          <w:sz w:val="24"/>
          <w:u w:val="none"/>
          <w:rtl/>
        </w:rPr>
        <w:t>חברה למען ירושלים</w:t>
      </w:r>
      <w:r w:rsidRPr="002D79C9">
        <w:rPr>
          <w:rFonts w:cs="Times New Roman"/>
          <w:color w:val="auto"/>
          <w:sz w:val="24"/>
          <w:u w:val="none"/>
        </w:rPr>
        <w:t xml:space="preserve">" </w:t>
      </w:r>
      <w:r w:rsidRPr="002D79C9">
        <w:rPr>
          <w:rFonts w:cs="Times New Roman"/>
          <w:color w:val="auto"/>
          <w:sz w:val="24"/>
          <w:u w:val="none"/>
          <w:rtl/>
        </w:rPr>
        <w:t>ותרומתה לשימור ושיקום העיר העתיקה</w:t>
      </w:r>
      <w:r>
        <w:rPr>
          <w:rFonts w:cs="Times New Roman" w:hint="cs"/>
          <w:color w:val="auto"/>
          <w:sz w:val="24"/>
          <w:u w:val="none"/>
          <w:rtl/>
        </w:rPr>
        <w:t>',</w:t>
      </w:r>
      <w:r>
        <w:rPr>
          <w:rFonts w:cs="Times New Roman"/>
          <w:color w:val="auto"/>
          <w:sz w:val="24"/>
          <w:u w:val="none"/>
        </w:rPr>
        <w:t xml:space="preserve"> </w:t>
      </w:r>
      <w:r>
        <w:rPr>
          <w:rFonts w:cs="Times New Roman" w:hint="cs"/>
          <w:color w:val="auto"/>
          <w:sz w:val="24"/>
          <w:u w:val="none"/>
          <w:rtl/>
        </w:rPr>
        <w:t>ק</w:t>
      </w:r>
      <w:r w:rsidRPr="002D79C9">
        <w:rPr>
          <w:rFonts w:cs="Times New Roman"/>
          <w:color w:val="auto"/>
          <w:sz w:val="24"/>
          <w:u w:val="none"/>
          <w:rtl/>
        </w:rPr>
        <w:t>רדום:</w:t>
      </w:r>
      <w:r w:rsidRPr="002D79C9">
        <w:rPr>
          <w:rFonts w:cs="Times New Roman" w:hint="cs"/>
          <w:color w:val="auto"/>
          <w:sz w:val="24"/>
          <w:u w:val="none"/>
          <w:rtl/>
        </w:rPr>
        <w:t xml:space="preserve"> </w:t>
      </w:r>
      <w:r w:rsidRPr="002D79C9">
        <w:rPr>
          <w:rFonts w:cs="Times New Roman"/>
          <w:color w:val="auto"/>
          <w:sz w:val="24"/>
          <w:u w:val="none"/>
          <w:rtl/>
        </w:rPr>
        <w:t xml:space="preserve"> ד' (21-23)</w:t>
      </w:r>
      <w:r w:rsidRPr="002D79C9">
        <w:rPr>
          <w:rFonts w:cs="Times New Roman" w:hint="cs"/>
          <w:color w:val="auto"/>
          <w:sz w:val="24"/>
          <w:u w:val="none"/>
          <w:rtl/>
        </w:rPr>
        <w:t>, עמ'</w:t>
      </w:r>
      <w:r w:rsidRPr="002D79C9">
        <w:rPr>
          <w:rFonts w:cs="Times New Roman"/>
          <w:color w:val="auto"/>
          <w:sz w:val="24"/>
          <w:u w:val="none"/>
          <w:rtl/>
        </w:rPr>
        <w:t xml:space="preserve"> 1</w:t>
      </w:r>
      <w:r w:rsidRPr="002D79C9">
        <w:rPr>
          <w:rFonts w:cs="Times New Roman" w:hint="cs"/>
          <w:color w:val="auto"/>
          <w:sz w:val="24"/>
          <w:u w:val="none"/>
          <w:rtl/>
        </w:rPr>
        <w:t>36</w:t>
      </w:r>
      <w:r w:rsidRPr="002D79C9">
        <w:rPr>
          <w:rFonts w:cs="Times New Roman"/>
          <w:color w:val="auto"/>
          <w:sz w:val="24"/>
          <w:u w:val="none"/>
          <w:rtl/>
        </w:rPr>
        <w:t>-1</w:t>
      </w:r>
      <w:r w:rsidRPr="002D79C9">
        <w:rPr>
          <w:rFonts w:cs="Times New Roman" w:hint="cs"/>
          <w:color w:val="auto"/>
          <w:sz w:val="24"/>
          <w:u w:val="none"/>
          <w:rtl/>
        </w:rPr>
        <w:t>27.</w:t>
      </w:r>
    </w:p>
    <w:p w:rsidR="00E03920" w:rsidRDefault="00E03920" w:rsidP="00E03920">
      <w:pPr>
        <w:rPr>
          <w:rtl/>
        </w:rPr>
      </w:pPr>
    </w:p>
    <w:p w:rsidR="00E03920" w:rsidRPr="00E03920" w:rsidRDefault="00E03920" w:rsidP="00E03920">
      <w:pPr>
        <w:rPr>
          <w:u w:val="single"/>
          <w:rtl/>
        </w:rPr>
      </w:pPr>
      <w:r w:rsidRPr="00E03920">
        <w:rPr>
          <w:rFonts w:hint="cs"/>
          <w:u w:val="single"/>
          <w:rtl/>
        </w:rPr>
        <w:t>3. שימור ופיתוח תיירות בתל-אביב</w:t>
      </w:r>
    </w:p>
    <w:p w:rsidR="00E03920" w:rsidRPr="00E03920" w:rsidRDefault="00E03920" w:rsidP="00E03920">
      <w:pPr>
        <w:pStyle w:val="1"/>
        <w:spacing w:after="375"/>
        <w:rPr>
          <w:rFonts w:cs="Times New Roman"/>
          <w:b w:val="0"/>
          <w:bCs w:val="0"/>
          <w:sz w:val="24"/>
          <w:rtl/>
          <w:lang w:eastAsia="he-IL"/>
        </w:rPr>
      </w:pPr>
      <w:proofErr w:type="spellStart"/>
      <w:r w:rsidRPr="00E03920">
        <w:rPr>
          <w:rFonts w:cs="Times New Roman"/>
          <w:b w:val="0"/>
          <w:bCs w:val="0"/>
          <w:sz w:val="24"/>
          <w:rtl/>
          <w:lang w:eastAsia="he-IL"/>
        </w:rPr>
        <w:t>סלינג'ר</w:t>
      </w:r>
      <w:proofErr w:type="spellEnd"/>
      <w:r w:rsidRPr="00E03920">
        <w:rPr>
          <w:rFonts w:cs="Times New Roman"/>
          <w:b w:val="0"/>
          <w:bCs w:val="0"/>
          <w:sz w:val="24"/>
          <w:rtl/>
          <w:lang w:eastAsia="he-IL"/>
        </w:rPr>
        <w:t xml:space="preserve"> אייל ודניאל שפר</w:t>
      </w:r>
      <w:r w:rsidRPr="00E03920">
        <w:rPr>
          <w:rFonts w:cs="Times New Roman" w:hint="cs"/>
          <w:b w:val="0"/>
          <w:bCs w:val="0"/>
          <w:sz w:val="24"/>
          <w:rtl/>
          <w:lang w:eastAsia="he-IL"/>
        </w:rPr>
        <w:t xml:space="preserve">, </w:t>
      </w:r>
      <w:r>
        <w:rPr>
          <w:rFonts w:cs="Times New Roman" w:hint="cs"/>
          <w:b w:val="0"/>
          <w:bCs w:val="0"/>
          <w:sz w:val="24"/>
          <w:rtl/>
          <w:lang w:eastAsia="he-IL"/>
        </w:rPr>
        <w:t>'</w:t>
      </w:r>
      <w:r w:rsidRPr="00E03920">
        <w:rPr>
          <w:rFonts w:cs="Times New Roman"/>
          <w:b w:val="0"/>
          <w:bCs w:val="0"/>
          <w:sz w:val="24"/>
          <w:rtl/>
          <w:lang w:eastAsia="he-IL"/>
        </w:rPr>
        <w:t>כלכלת שימור מבנים – המקרה של תל אביב</w:t>
      </w:r>
      <w:r>
        <w:rPr>
          <w:rFonts w:cs="Times New Roman" w:hint="cs"/>
          <w:b w:val="0"/>
          <w:bCs w:val="0"/>
          <w:sz w:val="24"/>
          <w:rtl/>
          <w:lang w:eastAsia="he-IL"/>
        </w:rPr>
        <w:t>'</w:t>
      </w:r>
      <w:r w:rsidRPr="00E03920">
        <w:rPr>
          <w:rFonts w:cs="Times New Roman" w:hint="cs"/>
          <w:b w:val="0"/>
          <w:bCs w:val="0"/>
          <w:sz w:val="24"/>
          <w:rtl/>
          <w:lang w:eastAsia="he-IL"/>
        </w:rPr>
        <w:t xml:space="preserve">, </w:t>
      </w:r>
      <w:r w:rsidRPr="00E03920">
        <w:rPr>
          <w:rFonts w:cs="Times New Roman"/>
          <w:b w:val="0"/>
          <w:bCs w:val="0"/>
          <w:sz w:val="24"/>
          <w:rtl/>
          <w:lang w:eastAsia="he-IL"/>
        </w:rPr>
        <w:t>אתרים – המגזין", גיליון מס' 2, ספטמבר 2012</w:t>
      </w:r>
      <w:r>
        <w:rPr>
          <w:rFonts w:cs="Times New Roman" w:hint="cs"/>
          <w:b w:val="0"/>
          <w:bCs w:val="0"/>
          <w:sz w:val="24"/>
          <w:rtl/>
          <w:lang w:eastAsia="he-IL"/>
        </w:rPr>
        <w:t xml:space="preserve">. </w:t>
      </w:r>
    </w:p>
    <w:p w:rsidR="00E03920" w:rsidRPr="00E03920" w:rsidRDefault="00E03920" w:rsidP="00E03920">
      <w:pPr>
        <w:rPr>
          <w:rtl/>
        </w:rPr>
      </w:pPr>
      <w:r w:rsidRPr="00E03920">
        <w:rPr>
          <w:rtl/>
        </w:rPr>
        <w:t>עמית</w:t>
      </w:r>
      <w:r w:rsidRPr="00E03920">
        <w:rPr>
          <w:rFonts w:hint="cs"/>
          <w:rtl/>
        </w:rPr>
        <w:t>,</w:t>
      </w:r>
      <w:r w:rsidRPr="00E03920">
        <w:rPr>
          <w:rtl/>
        </w:rPr>
        <w:t xml:space="preserve"> עירית ועמרם גבריאל (2002), שימור ופיתוח – הקשר בין תמורות במרכז הישן של תל אביב לבין שימור</w:t>
      </w:r>
      <w:r w:rsidRPr="00E03920">
        <w:t>, </w:t>
      </w:r>
      <w:r w:rsidRPr="00E03920">
        <w:rPr>
          <w:u w:val="single"/>
          <w:rtl/>
        </w:rPr>
        <w:t>מחקרים בגאוגרפיה של ישראל</w:t>
      </w:r>
      <w:r w:rsidRPr="00E03920">
        <w:rPr>
          <w:rtl/>
        </w:rPr>
        <w:t> ט"ז: 316-289</w:t>
      </w:r>
      <w:r w:rsidRPr="00E03920">
        <w:t>.</w:t>
      </w:r>
    </w:p>
    <w:p w:rsidR="00E03920" w:rsidRPr="00E03920" w:rsidRDefault="00E03920" w:rsidP="00E03920">
      <w:pPr>
        <w:rPr>
          <w:rtl/>
        </w:rPr>
      </w:pPr>
    </w:p>
    <w:p w:rsidR="00E03920" w:rsidRDefault="00E03920" w:rsidP="00E03920">
      <w:pPr>
        <w:rPr>
          <w:rtl/>
        </w:rPr>
      </w:pPr>
      <w:r w:rsidRPr="00E03920">
        <w:rPr>
          <w:rtl/>
        </w:rPr>
        <w:t>עמית</w:t>
      </w:r>
      <w:r w:rsidRPr="00E03920">
        <w:rPr>
          <w:rFonts w:hint="cs"/>
          <w:rtl/>
        </w:rPr>
        <w:t>,</w:t>
      </w:r>
      <w:r w:rsidRPr="00E03920">
        <w:rPr>
          <w:rtl/>
        </w:rPr>
        <w:t xml:space="preserve"> עירית ואיתמר בן-דוד (2003), חזות ותדמית – לבנת הסיליקט וביטוייה בנוף הבנוי של המרכז הישן של תל אביב</w:t>
      </w:r>
      <w:r w:rsidRPr="00E03920">
        <w:t>, </w:t>
      </w:r>
      <w:hyperlink r:id="rId9" w:tooltip="ירושלים וארץ-ישראל" w:history="1">
        <w:r w:rsidRPr="00E03920">
          <w:rPr>
            <w:u w:val="single"/>
            <w:rtl/>
          </w:rPr>
          <w:t>ירושלים וארץ-ישראל</w:t>
        </w:r>
      </w:hyperlink>
      <w:r w:rsidRPr="00E03920">
        <w:t> 1: 224-197.</w:t>
      </w:r>
      <w:r>
        <w:rPr>
          <w:rFonts w:hint="cs"/>
          <w:rtl/>
        </w:rPr>
        <w:t xml:space="preserve">. </w:t>
      </w:r>
    </w:p>
    <w:p w:rsidR="00B15B91" w:rsidRDefault="00B15B91" w:rsidP="00E03920">
      <w:pPr>
        <w:rPr>
          <w:rtl/>
        </w:rPr>
      </w:pPr>
    </w:p>
    <w:p w:rsidR="00B15B91" w:rsidRDefault="00B15B91" w:rsidP="00B15B91">
      <w:pPr>
        <w:rPr>
          <w:rtl/>
        </w:rPr>
      </w:pPr>
      <w:r>
        <w:rPr>
          <w:rtl/>
        </w:rPr>
        <w:t>שובל</w:t>
      </w:r>
      <w:r>
        <w:rPr>
          <w:rFonts w:hint="cs"/>
          <w:rtl/>
        </w:rPr>
        <w:t>,</w:t>
      </w:r>
      <w:r>
        <w:rPr>
          <w:rtl/>
        </w:rPr>
        <w:t xml:space="preserve"> נעם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'</w:t>
      </w:r>
      <w:r>
        <w:rPr>
          <w:rtl/>
        </w:rPr>
        <w:t>המבנה המרחבי של התיירות בתל אביב-יפו ומשמעותו ביחס למבנה העירוני</w:t>
      </w:r>
      <w:r>
        <w:rPr>
          <w:rFonts w:hint="cs"/>
          <w:rtl/>
        </w:rPr>
        <w:t xml:space="preserve">', בתוך: ברוך קיפניס (עורך), </w:t>
      </w:r>
      <w:bookmarkStart w:id="0" w:name="_GoBack"/>
      <w:bookmarkEnd w:id="0"/>
      <w:r w:rsidRPr="00B15B91">
        <w:rPr>
          <w:u w:val="single"/>
          <w:rtl/>
        </w:rPr>
        <w:t>תל אביב-יפו: מפרבר גנים לעיר עולם</w:t>
      </w:r>
      <w:r w:rsidRPr="00B15B91">
        <w:rPr>
          <w:rFonts w:hint="cs"/>
          <w:u w:val="single"/>
          <w:rtl/>
        </w:rPr>
        <w:t xml:space="preserve"> - </w:t>
      </w:r>
      <w:r w:rsidRPr="00B15B91">
        <w:rPr>
          <w:u w:val="single"/>
          <w:rtl/>
        </w:rPr>
        <w:t>מאה השנים הראשונות</w:t>
      </w:r>
      <w:r>
        <w:rPr>
          <w:rFonts w:hint="cs"/>
          <w:rtl/>
        </w:rPr>
        <w:t>, חיפה 2009, עמ' 296-277.</w:t>
      </w:r>
    </w:p>
    <w:p w:rsidR="00E03920" w:rsidRPr="00E03920" w:rsidRDefault="00E03920" w:rsidP="00E03920">
      <w:pPr>
        <w:rPr>
          <w:rtl/>
        </w:rPr>
      </w:pPr>
    </w:p>
    <w:p w:rsidR="00E03920" w:rsidRPr="00E03920" w:rsidRDefault="00E03920" w:rsidP="00E03920">
      <w:pPr>
        <w:pStyle w:val="1"/>
        <w:bidi w:val="0"/>
        <w:spacing w:after="375"/>
        <w:rPr>
          <w:rFonts w:cs="Times New Roman"/>
          <w:b w:val="0"/>
          <w:bCs w:val="0"/>
          <w:sz w:val="24"/>
          <w:lang w:eastAsia="he-IL"/>
        </w:rPr>
      </w:pPr>
      <w:r w:rsidRPr="00E03920">
        <w:rPr>
          <w:rFonts w:cs="Times New Roman"/>
          <w:b w:val="0"/>
          <w:bCs w:val="0"/>
          <w:sz w:val="24"/>
          <w:lang w:eastAsia="he-IL"/>
        </w:rPr>
        <w:t>Amit-Cohen, Irit (2005), Synergy between urban planning, preservation and functional changes in the old center, the case of Tel Aviv Jaffa. </w:t>
      </w:r>
      <w:r w:rsidRPr="00E03920">
        <w:rPr>
          <w:rFonts w:cs="Times New Roman"/>
          <w:b w:val="0"/>
          <w:bCs w:val="0"/>
          <w:i/>
          <w:iCs/>
          <w:sz w:val="24"/>
          <w:lang w:eastAsia="he-IL"/>
        </w:rPr>
        <w:t>Land Use Policy</w:t>
      </w:r>
      <w:r w:rsidRPr="00E03920">
        <w:rPr>
          <w:rFonts w:cs="Times New Roman"/>
          <w:b w:val="0"/>
          <w:bCs w:val="0"/>
          <w:sz w:val="24"/>
          <w:lang w:eastAsia="he-IL"/>
        </w:rPr>
        <w:t>. 22 [4</w:t>
      </w:r>
      <w:proofErr w:type="gramStart"/>
      <w:r w:rsidRPr="00E03920">
        <w:rPr>
          <w:rFonts w:cs="Times New Roman"/>
          <w:b w:val="0"/>
          <w:bCs w:val="0"/>
          <w:sz w:val="24"/>
          <w:lang w:eastAsia="he-IL"/>
        </w:rPr>
        <w:t>] :</w:t>
      </w:r>
      <w:proofErr w:type="gramEnd"/>
      <w:r w:rsidRPr="00E03920">
        <w:rPr>
          <w:rFonts w:cs="Times New Roman"/>
          <w:b w:val="0"/>
          <w:bCs w:val="0"/>
          <w:sz w:val="24"/>
          <w:lang w:eastAsia="he-IL"/>
        </w:rPr>
        <w:t xml:space="preserve"> 291-300.</w:t>
      </w:r>
    </w:p>
    <w:p w:rsidR="00306D39" w:rsidRDefault="00306D39" w:rsidP="00E03920">
      <w:pPr>
        <w:bidi w:val="0"/>
      </w:pPr>
    </w:p>
    <w:p w:rsidR="00E03920" w:rsidRDefault="00E03920" w:rsidP="00306D39">
      <w:pPr>
        <w:rPr>
          <w:rtl/>
        </w:rPr>
      </w:pPr>
    </w:p>
    <w:p w:rsidR="00E03920" w:rsidRPr="00E03920" w:rsidRDefault="00E03920" w:rsidP="00306D39">
      <w:pPr>
        <w:rPr>
          <w:u w:val="single"/>
          <w:rtl/>
        </w:rPr>
      </w:pPr>
      <w:r w:rsidRPr="00E03920">
        <w:rPr>
          <w:rFonts w:hint="cs"/>
          <w:u w:val="single"/>
          <w:rtl/>
        </w:rPr>
        <w:t>אתרי אינטרנט</w:t>
      </w:r>
    </w:p>
    <w:p w:rsidR="00306D39" w:rsidRDefault="00306D39" w:rsidP="00306D39">
      <w:pPr>
        <w:rPr>
          <w:rtl/>
        </w:rPr>
      </w:pPr>
      <w:r>
        <w:rPr>
          <w:rFonts w:hint="cs"/>
          <w:rtl/>
        </w:rPr>
        <w:t>משרד הפנים -  שימור מבנים ואתרים:</w:t>
      </w:r>
    </w:p>
    <w:p w:rsidR="00306D39" w:rsidRDefault="00C009DB" w:rsidP="00306D39">
      <w:hyperlink r:id="rId10" w:history="1">
        <w:r w:rsidR="00306D39" w:rsidRPr="00AE332D">
          <w:rPr>
            <w:rStyle w:val="Hyperlink"/>
          </w:rPr>
          <w:t>http://www.moin.gov.il/Subjects/BuldingsAndSitesPreserving/Pages/About.aspx</w:t>
        </w:r>
      </w:hyperlink>
    </w:p>
    <w:p w:rsidR="00306D39" w:rsidRDefault="00306D39" w:rsidP="00306D39">
      <w:pPr>
        <w:rPr>
          <w:rtl/>
        </w:rPr>
      </w:pPr>
    </w:p>
    <w:p w:rsidR="00306D39" w:rsidRDefault="00306D39" w:rsidP="00306D39">
      <w:pPr>
        <w:rPr>
          <w:rtl/>
        </w:rPr>
      </w:pPr>
      <w:r>
        <w:rPr>
          <w:rFonts w:hint="cs"/>
          <w:rtl/>
        </w:rPr>
        <w:lastRenderedPageBreak/>
        <w:t>שימור המורשת הבנויה-מחוז ירושלים:</w:t>
      </w:r>
    </w:p>
    <w:p w:rsidR="00306D39" w:rsidRDefault="00C009DB" w:rsidP="00306D39">
      <w:hyperlink r:id="rId11" w:anchor="14;" w:history="1">
        <w:r w:rsidR="00306D39" w:rsidRPr="00AE332D">
          <w:rPr>
            <w:rStyle w:val="Hyperlink"/>
          </w:rPr>
          <w:t>http://www.moin.gov.il/Subjects/BuldingsAndSitesPreserving/Pages/default.aspx#14;#Subjects/BuldingsAndSitesPreserving/Pages/MachozYerushalayim.aspx</w:t>
        </w:r>
      </w:hyperlink>
    </w:p>
    <w:p w:rsidR="00306D39" w:rsidRDefault="00306D39" w:rsidP="00306D39">
      <w:pPr>
        <w:rPr>
          <w:rtl/>
        </w:rPr>
      </w:pPr>
    </w:p>
    <w:p w:rsidR="00306D39" w:rsidRDefault="00306D39" w:rsidP="00B97696">
      <w:pPr>
        <w:rPr>
          <w:rtl/>
        </w:rPr>
      </w:pPr>
      <w:r>
        <w:rPr>
          <w:rFonts w:hint="cs"/>
          <w:rtl/>
        </w:rPr>
        <w:t>ירושלים- עיר היסטורית-</w:t>
      </w:r>
    </w:p>
    <w:p w:rsidR="00B97696" w:rsidRDefault="00C009DB" w:rsidP="00B97696">
      <w:pPr>
        <w:rPr>
          <w:rtl/>
        </w:rPr>
      </w:pPr>
      <w:hyperlink r:id="rId12" w:history="1">
        <w:r w:rsidR="00B97696" w:rsidRPr="00AE332D">
          <w:rPr>
            <w:rStyle w:val="Hyperlink"/>
          </w:rPr>
          <w:t>http://www.moin.gov.il/SubjectDocuments/Shimur02.pdf</w:t>
        </w:r>
      </w:hyperlink>
    </w:p>
    <w:p w:rsidR="00B97696" w:rsidRPr="00B97696" w:rsidRDefault="00B97696" w:rsidP="00B97696">
      <w:pPr>
        <w:rPr>
          <w:rtl/>
        </w:rPr>
      </w:pPr>
    </w:p>
    <w:p w:rsidR="00306D39" w:rsidRDefault="00E03920" w:rsidP="00306D39">
      <w:pPr>
        <w:rPr>
          <w:rtl/>
        </w:rPr>
      </w:pPr>
      <w:r>
        <w:rPr>
          <w:rFonts w:hint="cs"/>
          <w:rtl/>
        </w:rPr>
        <w:t>שימור מבנים בתל-אביב</w:t>
      </w:r>
    </w:p>
    <w:p w:rsidR="00E03920" w:rsidRPr="00E03920" w:rsidRDefault="00E03920" w:rsidP="00E03920"/>
    <w:p w:rsidR="00E03920" w:rsidRPr="00E03920" w:rsidRDefault="00E03920" w:rsidP="00306D39">
      <w:pPr>
        <w:rPr>
          <w:rtl/>
        </w:rPr>
      </w:pPr>
    </w:p>
    <w:p w:rsidR="00306D39" w:rsidRDefault="00306D39" w:rsidP="00306D39">
      <w:pPr>
        <w:rPr>
          <w:u w:val="single"/>
          <w:rtl/>
        </w:rPr>
      </w:pPr>
      <w:r w:rsidRPr="00306D39">
        <w:rPr>
          <w:rFonts w:hint="cs"/>
          <w:u w:val="single"/>
          <w:rtl/>
        </w:rPr>
        <w:t>כתבי</w:t>
      </w:r>
      <w:r>
        <w:rPr>
          <w:rFonts w:hint="cs"/>
          <w:u w:val="single"/>
          <w:rtl/>
        </w:rPr>
        <w:t>-</w:t>
      </w:r>
      <w:r w:rsidRPr="00306D39">
        <w:rPr>
          <w:rFonts w:hint="cs"/>
          <w:u w:val="single"/>
          <w:rtl/>
        </w:rPr>
        <w:t>עת ובהם מאמרים קצרים על מבנים לשימור:</w:t>
      </w:r>
    </w:p>
    <w:p w:rsidR="00306D39" w:rsidRDefault="00306D39" w:rsidP="00306D39">
      <w:pPr>
        <w:rPr>
          <w:rtl/>
        </w:rPr>
      </w:pPr>
      <w:r w:rsidRPr="00306D39">
        <w:rPr>
          <w:rFonts w:hint="cs"/>
          <w:rtl/>
        </w:rPr>
        <w:t xml:space="preserve">אדריכלות ישראלית </w:t>
      </w:r>
    </w:p>
    <w:p w:rsidR="00306D39" w:rsidRPr="00306D39" w:rsidRDefault="00306D39" w:rsidP="00306D39">
      <w:pPr>
        <w:rPr>
          <w:rtl/>
        </w:rPr>
      </w:pPr>
      <w:r w:rsidRPr="00306D39">
        <w:rPr>
          <w:rFonts w:hint="cs"/>
          <w:rtl/>
        </w:rPr>
        <w:t>אתרים</w:t>
      </w:r>
    </w:p>
    <w:p w:rsidR="00306D39" w:rsidRPr="00306D39" w:rsidRDefault="00306D39" w:rsidP="00306D39">
      <w:pPr>
        <w:rPr>
          <w:rtl/>
        </w:rPr>
      </w:pPr>
      <w:r w:rsidRPr="00306D39">
        <w:rPr>
          <w:rFonts w:hint="cs"/>
          <w:rtl/>
        </w:rPr>
        <w:t>ירוק ירושלמי</w:t>
      </w:r>
    </w:p>
    <w:p w:rsidR="00306D39" w:rsidRPr="00306D39" w:rsidRDefault="00306D39" w:rsidP="00306D39">
      <w:pPr>
        <w:rPr>
          <w:rtl/>
        </w:rPr>
      </w:pPr>
      <w:r w:rsidRPr="00306D39">
        <w:rPr>
          <w:rFonts w:hint="cs"/>
          <w:rtl/>
        </w:rPr>
        <w:t>עצוב</w:t>
      </w:r>
    </w:p>
    <w:p w:rsidR="00306D39" w:rsidRPr="00306D39" w:rsidRDefault="00306D39" w:rsidP="00306D39">
      <w:pPr>
        <w:rPr>
          <w:rtl/>
        </w:rPr>
      </w:pPr>
    </w:p>
    <w:p w:rsidR="00200932" w:rsidRPr="00200932" w:rsidRDefault="00200932" w:rsidP="00200932"/>
    <w:p w:rsidR="002D79C9" w:rsidRPr="002D79C9" w:rsidRDefault="002D79C9" w:rsidP="00E34046">
      <w:pPr>
        <w:rPr>
          <w:rtl/>
        </w:rPr>
      </w:pPr>
    </w:p>
    <w:sectPr w:rsidR="002D79C9" w:rsidRPr="002D79C9" w:rsidSect="0052119B">
      <w:headerReference w:type="even" r:id="rId13"/>
      <w:headerReference w:type="default" r:id="rId14"/>
      <w:pgSz w:w="11909" w:h="16834" w:code="9"/>
      <w:pgMar w:top="1134" w:right="1797" w:bottom="851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9DB" w:rsidRDefault="00C009DB">
      <w:r>
        <w:separator/>
      </w:r>
    </w:p>
  </w:endnote>
  <w:endnote w:type="continuationSeparator" w:id="0">
    <w:p w:rsidR="00C009DB" w:rsidRDefault="00C00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9DB" w:rsidRDefault="00C009DB">
      <w:r>
        <w:separator/>
      </w:r>
    </w:p>
  </w:footnote>
  <w:footnote w:type="continuationSeparator" w:id="0">
    <w:p w:rsidR="00C009DB" w:rsidRDefault="00C00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FF6" w:rsidRDefault="00F04E1A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rtl/>
      </w:rPr>
      <w:fldChar w:fldCharType="begin"/>
    </w:r>
    <w:r w:rsidR="003E7FF6"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3E7FF6" w:rsidRDefault="003E7FF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FF6" w:rsidRDefault="00F04E1A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rtl/>
      </w:rPr>
      <w:fldChar w:fldCharType="begin"/>
    </w:r>
    <w:r w:rsidR="003E7FF6">
      <w:rPr>
        <w:rStyle w:val="a5"/>
      </w:rPr>
      <w:instrText xml:space="preserve">PAGE  </w:instrText>
    </w:r>
    <w:r>
      <w:rPr>
        <w:rStyle w:val="a5"/>
        <w:rtl/>
      </w:rPr>
      <w:fldChar w:fldCharType="separate"/>
    </w:r>
    <w:r w:rsidR="00B15B91">
      <w:rPr>
        <w:rStyle w:val="a5"/>
        <w:noProof/>
        <w:rtl/>
      </w:rPr>
      <w:t>4</w:t>
    </w:r>
    <w:r>
      <w:rPr>
        <w:rStyle w:val="a5"/>
        <w:rtl/>
      </w:rPr>
      <w:fldChar w:fldCharType="end"/>
    </w:r>
  </w:p>
  <w:p w:rsidR="003E7FF6" w:rsidRDefault="003E7FF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12E60"/>
    <w:multiLevelType w:val="singleLevel"/>
    <w:tmpl w:val="C30E9FA8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cs="David" w:hint="default"/>
        <w:b w:val="0"/>
        <w:sz w:val="24"/>
      </w:rPr>
    </w:lvl>
  </w:abstractNum>
  <w:abstractNum w:abstractNumId="1" w15:restartNumberingAfterBreak="0">
    <w:nsid w:val="1C884E05"/>
    <w:multiLevelType w:val="hybridMultilevel"/>
    <w:tmpl w:val="5A96B43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921B1"/>
    <w:multiLevelType w:val="singleLevel"/>
    <w:tmpl w:val="8592D8A6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abstractNum w:abstractNumId="3" w15:restartNumberingAfterBreak="0">
    <w:nsid w:val="74360370"/>
    <w:multiLevelType w:val="hybridMultilevel"/>
    <w:tmpl w:val="1324A3D6"/>
    <w:lvl w:ilvl="0" w:tplc="EB42C978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1B8"/>
    <w:rsid w:val="00066753"/>
    <w:rsid w:val="00066DBF"/>
    <w:rsid w:val="00113D6B"/>
    <w:rsid w:val="00200932"/>
    <w:rsid w:val="0022280F"/>
    <w:rsid w:val="002B29EB"/>
    <w:rsid w:val="002B75B4"/>
    <w:rsid w:val="002D79C9"/>
    <w:rsid w:val="00306D39"/>
    <w:rsid w:val="003E7FF6"/>
    <w:rsid w:val="003F33F7"/>
    <w:rsid w:val="004D2555"/>
    <w:rsid w:val="0051621E"/>
    <w:rsid w:val="0052119B"/>
    <w:rsid w:val="005908AF"/>
    <w:rsid w:val="005F31B8"/>
    <w:rsid w:val="0071479E"/>
    <w:rsid w:val="00751C9B"/>
    <w:rsid w:val="00960B96"/>
    <w:rsid w:val="009A0A90"/>
    <w:rsid w:val="009D2180"/>
    <w:rsid w:val="00A13FE5"/>
    <w:rsid w:val="00A3309C"/>
    <w:rsid w:val="00AB0D97"/>
    <w:rsid w:val="00B15B91"/>
    <w:rsid w:val="00B232FA"/>
    <w:rsid w:val="00B30430"/>
    <w:rsid w:val="00B314E7"/>
    <w:rsid w:val="00B97696"/>
    <w:rsid w:val="00BA7CEE"/>
    <w:rsid w:val="00BD366D"/>
    <w:rsid w:val="00BD68C4"/>
    <w:rsid w:val="00C009DB"/>
    <w:rsid w:val="00C220ED"/>
    <w:rsid w:val="00C81BEE"/>
    <w:rsid w:val="00CE6842"/>
    <w:rsid w:val="00CF0C09"/>
    <w:rsid w:val="00D71BD3"/>
    <w:rsid w:val="00E03920"/>
    <w:rsid w:val="00E34046"/>
    <w:rsid w:val="00E45E0D"/>
    <w:rsid w:val="00E72131"/>
    <w:rsid w:val="00E9227E"/>
    <w:rsid w:val="00EE743C"/>
    <w:rsid w:val="00F04E1A"/>
    <w:rsid w:val="00F53FAB"/>
    <w:rsid w:val="00F7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8F28206F-2C35-4EC8-8D76-E5566F36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19B"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52119B"/>
    <w:pPr>
      <w:keepNext/>
      <w:outlineLvl w:val="0"/>
    </w:pPr>
    <w:rPr>
      <w:rFonts w:cs="Miriam"/>
      <w:b/>
      <w:bCs/>
      <w:sz w:val="20"/>
      <w:lang w:eastAsia="en-US"/>
    </w:rPr>
  </w:style>
  <w:style w:type="paragraph" w:styleId="2">
    <w:name w:val="heading 2"/>
    <w:basedOn w:val="a"/>
    <w:next w:val="a"/>
    <w:qFormat/>
    <w:rsid w:val="0052119B"/>
    <w:pPr>
      <w:keepNext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52119B"/>
    <w:pPr>
      <w:keepNext/>
      <w:jc w:val="center"/>
      <w:outlineLvl w:val="2"/>
    </w:pPr>
    <w:rPr>
      <w:rFonts w:cs="David"/>
      <w:color w:val="000000"/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52119B"/>
    <w:rPr>
      <w:rFonts w:cs="Miriam"/>
      <w:sz w:val="20"/>
      <w:szCs w:val="20"/>
    </w:rPr>
  </w:style>
  <w:style w:type="paragraph" w:styleId="a4">
    <w:name w:val="header"/>
    <w:basedOn w:val="a"/>
    <w:rsid w:val="0052119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119B"/>
  </w:style>
  <w:style w:type="paragraph" w:styleId="a6">
    <w:name w:val="Title"/>
    <w:basedOn w:val="a"/>
    <w:qFormat/>
    <w:rsid w:val="0052119B"/>
    <w:pPr>
      <w:spacing w:line="360" w:lineRule="auto"/>
      <w:jc w:val="center"/>
    </w:pPr>
    <w:rPr>
      <w:rFonts w:cs="David"/>
      <w:b/>
      <w:bCs/>
      <w:color w:val="000000"/>
      <w:sz w:val="20"/>
      <w:u w:val="single"/>
    </w:rPr>
  </w:style>
  <w:style w:type="paragraph" w:styleId="a7">
    <w:name w:val="Balloon Text"/>
    <w:basedOn w:val="a"/>
    <w:link w:val="a8"/>
    <w:rsid w:val="00113D6B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rsid w:val="00113D6B"/>
    <w:rPr>
      <w:rFonts w:ascii="Tahoma" w:hAnsi="Tahoma" w:cs="Tahoma"/>
      <w:sz w:val="16"/>
      <w:szCs w:val="16"/>
      <w:lang w:eastAsia="he-IL"/>
    </w:rPr>
  </w:style>
  <w:style w:type="character" w:customStyle="1" w:styleId="searchword">
    <w:name w:val="searchword"/>
    <w:basedOn w:val="a0"/>
    <w:rsid w:val="002D79C9"/>
  </w:style>
  <w:style w:type="character" w:customStyle="1" w:styleId="exlresultdetails">
    <w:name w:val="exlresultdetails"/>
    <w:basedOn w:val="a0"/>
    <w:rsid w:val="002D79C9"/>
  </w:style>
  <w:style w:type="character" w:styleId="Hyperlink">
    <w:name w:val="Hyperlink"/>
    <w:basedOn w:val="a0"/>
    <w:uiPriority w:val="99"/>
    <w:unhideWhenUsed/>
    <w:rsid w:val="0020093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97696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E03920"/>
    <w:pPr>
      <w:bidi w:val="0"/>
      <w:spacing w:before="100" w:beforeAutospacing="1" w:after="100" w:afterAutospacing="1"/>
    </w:pPr>
    <w:rPr>
      <w:lang w:eastAsia="en-US"/>
    </w:rPr>
  </w:style>
  <w:style w:type="character" w:styleId="aa">
    <w:name w:val="Strong"/>
    <w:basedOn w:val="a0"/>
    <w:uiPriority w:val="22"/>
    <w:qFormat/>
    <w:rsid w:val="00E039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5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8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8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8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6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1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ar.co.il.proxy1.athensams.net/KotarApp/Viewer.aspx?nBookID=97129765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oin.gov.il/SubjectDocuments/Shimur02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in.gov.il/Subjects/BuldingsAndSitesPreserving/Pages/default.asp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oin.gov.il/Subjects/BuldingsAndSitesPreserving/Pages/Abou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.wikipedia.org/wiki/%D7%99%D7%A8%D7%95%D7%A9%D7%9C%D7%99%D7%9D_%D7%95%D7%90%D7%A8%D7%A5-%D7%99%D7%A9%D7%A8%D7%90%D7%9C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שם הקורס:  שימור ותיירות בירושלים החדשה</vt:lpstr>
    </vt:vector>
  </TitlesOfParts>
  <Company/>
  <LinksUpToDate>false</LinksUpToDate>
  <CharactersWithSpaces>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שם הקורס:  שימור ותיירות בירושלים החדשה</dc:title>
  <dc:creator>kobi</dc:creator>
  <cp:lastModifiedBy>user</cp:lastModifiedBy>
  <cp:revision>4</cp:revision>
  <dcterms:created xsi:type="dcterms:W3CDTF">2018-04-16T07:16:00Z</dcterms:created>
  <dcterms:modified xsi:type="dcterms:W3CDTF">2018-04-16T07:40:00Z</dcterms:modified>
</cp:coreProperties>
</file>